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566" w:rsidRPr="00A92307" w:rsidRDefault="00E1546C" w:rsidP="00BC5566">
      <w:pPr>
        <w:pStyle w:val="Ttulo2"/>
        <w:rPr>
          <w:rFonts w:ascii="Arial" w:hAnsi="Arial"/>
          <w:bCs w:val="0"/>
          <w:sz w:val="28"/>
          <w:szCs w:val="28"/>
        </w:rPr>
      </w:pPr>
      <w:r>
        <w:rPr>
          <w:rFonts w:ascii="Arial" w:hAnsi="Arial"/>
          <w:bCs w:val="0"/>
          <w:sz w:val="28"/>
          <w:szCs w:val="28"/>
        </w:rPr>
        <w:t>I</w:t>
      </w:r>
      <w:r w:rsidR="00BC5566">
        <w:rPr>
          <w:rFonts w:ascii="Arial" w:hAnsi="Arial"/>
          <w:bCs w:val="0"/>
          <w:sz w:val="28"/>
          <w:szCs w:val="28"/>
        </w:rPr>
        <w:t>NFORME EJECUTIVO</w:t>
      </w:r>
    </w:p>
    <w:p w:rsidR="002810D2" w:rsidRDefault="002810D2" w:rsidP="00BC5566">
      <w:pPr>
        <w:pStyle w:val="Ttulo3"/>
        <w:jc w:val="center"/>
        <w:rPr>
          <w:rFonts w:ascii="Arial" w:hAnsi="Arial"/>
          <w:bCs w:val="0"/>
          <w:i/>
          <w:sz w:val="22"/>
          <w:u w:val="single"/>
        </w:rPr>
      </w:pPr>
    </w:p>
    <w:p w:rsidR="00BC5566" w:rsidRDefault="00BC5566" w:rsidP="00BC5566">
      <w:pPr>
        <w:pStyle w:val="Ttulo3"/>
        <w:jc w:val="center"/>
        <w:rPr>
          <w:rFonts w:ascii="Arial" w:hAnsi="Arial"/>
          <w:bCs w:val="0"/>
          <w:i/>
          <w:sz w:val="22"/>
          <w:u w:val="single"/>
        </w:rPr>
      </w:pPr>
      <w:r>
        <w:rPr>
          <w:rFonts w:ascii="Arial" w:hAnsi="Arial"/>
          <w:bCs w:val="0"/>
          <w:i/>
          <w:sz w:val="22"/>
          <w:u w:val="single"/>
        </w:rPr>
        <w:t>Í</w:t>
      </w:r>
      <w:r w:rsidRPr="0077031E">
        <w:rPr>
          <w:rFonts w:ascii="Arial" w:hAnsi="Arial"/>
          <w:bCs w:val="0"/>
          <w:i/>
          <w:sz w:val="22"/>
          <w:u w:val="single"/>
        </w:rPr>
        <w:t>NDICES DE EMPLEO</w:t>
      </w:r>
    </w:p>
    <w:p w:rsidR="00BC5566" w:rsidRPr="008B0CDB" w:rsidRDefault="00BC5566" w:rsidP="00BC5566"/>
    <w:p w:rsidR="00BC5566" w:rsidRDefault="00BC5566" w:rsidP="00BC5566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El índice general de empleo de los trabajadores en general (Empleados y de Obreros) en el período </w:t>
      </w:r>
      <w:r w:rsidR="00B723A7">
        <w:rPr>
          <w:rFonts w:ascii="Arial" w:hAnsi="Arial"/>
          <w:sz w:val="20"/>
        </w:rPr>
        <w:t>enero 2013</w:t>
      </w:r>
      <w:r w:rsidR="00D776A5">
        <w:rPr>
          <w:rFonts w:ascii="Arial" w:hAnsi="Arial"/>
          <w:sz w:val="20"/>
        </w:rPr>
        <w:t xml:space="preserve"> </w:t>
      </w:r>
      <w:r w:rsidR="00862B13">
        <w:rPr>
          <w:rFonts w:ascii="Arial" w:hAnsi="Arial"/>
          <w:sz w:val="20"/>
        </w:rPr>
        <w:t>a</w:t>
      </w:r>
      <w:r w:rsidR="00010CA7">
        <w:rPr>
          <w:rFonts w:ascii="Arial" w:hAnsi="Arial"/>
          <w:sz w:val="20"/>
        </w:rPr>
        <w:t xml:space="preserve"> </w:t>
      </w:r>
      <w:r w:rsidR="00B723A7">
        <w:rPr>
          <w:rFonts w:ascii="Arial" w:hAnsi="Arial"/>
          <w:sz w:val="20"/>
        </w:rPr>
        <w:t>dic</w:t>
      </w:r>
      <w:r w:rsidR="00A34967">
        <w:rPr>
          <w:rFonts w:ascii="Arial" w:hAnsi="Arial"/>
          <w:sz w:val="20"/>
        </w:rPr>
        <w:t>iembre</w:t>
      </w:r>
      <w:r w:rsidR="00D776A5">
        <w:rPr>
          <w:rFonts w:ascii="Arial" w:hAnsi="Arial"/>
          <w:sz w:val="20"/>
        </w:rPr>
        <w:t xml:space="preserve"> 2013</w:t>
      </w:r>
      <w:r>
        <w:rPr>
          <w:rFonts w:ascii="Arial" w:hAnsi="Arial"/>
          <w:sz w:val="20"/>
        </w:rPr>
        <w:t>, experimenta una elevación de</w:t>
      </w:r>
      <w:r w:rsidR="006D3047">
        <w:rPr>
          <w:rFonts w:ascii="Arial" w:hAnsi="Arial"/>
          <w:sz w:val="20"/>
        </w:rPr>
        <w:t xml:space="preserve"> 6.5 </w:t>
      </w:r>
      <w:r>
        <w:rPr>
          <w:rFonts w:ascii="Arial" w:hAnsi="Arial"/>
          <w:sz w:val="20"/>
        </w:rPr>
        <w:t>puntos, esto significa que el aparato productivo del país  respondió a las necesidades de empleo, incrementando  puestos de trabajo, muchos de ellos  temporales o por horas. Esta evolución positiva del indicador equivale a una variación  para el perío</w:t>
      </w:r>
      <w:r w:rsidR="003C292D">
        <w:rPr>
          <w:rFonts w:ascii="Arial" w:hAnsi="Arial"/>
          <w:sz w:val="20"/>
        </w:rPr>
        <w:t xml:space="preserve">do de </w:t>
      </w:r>
      <w:r w:rsidR="006D3047">
        <w:rPr>
          <w:rFonts w:ascii="Arial" w:hAnsi="Arial"/>
          <w:sz w:val="20"/>
        </w:rPr>
        <w:t>3.62</w:t>
      </w:r>
      <w:r>
        <w:rPr>
          <w:rFonts w:ascii="Arial" w:hAnsi="Arial"/>
          <w:sz w:val="20"/>
        </w:rPr>
        <w:t>%.</w:t>
      </w:r>
    </w:p>
    <w:p w:rsidR="00BC5566" w:rsidRDefault="00BC5566" w:rsidP="00BC5566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En cuanto a los indicadores de sus componentes, el índice de Empleados para el período de estud</w:t>
      </w:r>
      <w:r w:rsidR="00BB7580">
        <w:rPr>
          <w:rFonts w:ascii="Arial" w:hAnsi="Arial"/>
          <w:sz w:val="20"/>
        </w:rPr>
        <w:t>io</w:t>
      </w:r>
      <w:r w:rsidR="00A8108E">
        <w:rPr>
          <w:rFonts w:ascii="Arial" w:hAnsi="Arial"/>
          <w:sz w:val="20"/>
        </w:rPr>
        <w:t xml:space="preserve"> presenta un crecimiento de </w:t>
      </w:r>
      <w:r w:rsidR="006D3047">
        <w:rPr>
          <w:rFonts w:ascii="Arial" w:hAnsi="Arial"/>
          <w:sz w:val="20"/>
        </w:rPr>
        <w:t>10.4</w:t>
      </w:r>
      <w:r w:rsidR="00197C5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 puntos lo que equivale </w:t>
      </w:r>
      <w:r w:rsidR="00197C5A">
        <w:rPr>
          <w:rFonts w:ascii="Arial" w:hAnsi="Arial"/>
          <w:sz w:val="20"/>
        </w:rPr>
        <w:t xml:space="preserve">a una variación positiva de </w:t>
      </w:r>
      <w:r w:rsidR="006D3047">
        <w:rPr>
          <w:rFonts w:ascii="Arial" w:hAnsi="Arial"/>
          <w:sz w:val="20"/>
        </w:rPr>
        <w:t>5.09</w:t>
      </w:r>
      <w:r w:rsidR="00100C3F">
        <w:rPr>
          <w:rFonts w:ascii="Arial" w:hAnsi="Arial"/>
          <w:sz w:val="20"/>
        </w:rPr>
        <w:t>%. En cuanto al</w:t>
      </w:r>
      <w:r>
        <w:rPr>
          <w:rFonts w:ascii="Arial" w:hAnsi="Arial"/>
          <w:sz w:val="20"/>
        </w:rPr>
        <w:t xml:space="preserve"> índice d</w:t>
      </w:r>
      <w:r w:rsidR="00100C3F">
        <w:rPr>
          <w:rFonts w:ascii="Arial" w:hAnsi="Arial"/>
          <w:sz w:val="20"/>
        </w:rPr>
        <w:t xml:space="preserve">e Obreros registra </w:t>
      </w:r>
      <w:r w:rsidR="00A8108E">
        <w:rPr>
          <w:rFonts w:ascii="Arial" w:hAnsi="Arial"/>
          <w:sz w:val="20"/>
        </w:rPr>
        <w:t xml:space="preserve">una </w:t>
      </w:r>
      <w:r w:rsidR="00A34967">
        <w:rPr>
          <w:rFonts w:ascii="Arial" w:hAnsi="Arial"/>
          <w:sz w:val="20"/>
        </w:rPr>
        <w:t>alza</w:t>
      </w:r>
      <w:r w:rsidR="00A8108E">
        <w:rPr>
          <w:rFonts w:ascii="Arial" w:hAnsi="Arial"/>
          <w:sz w:val="20"/>
        </w:rPr>
        <w:t xml:space="preserve"> de</w:t>
      </w:r>
      <w:r w:rsidR="00A34967">
        <w:rPr>
          <w:rFonts w:ascii="Arial" w:hAnsi="Arial"/>
          <w:sz w:val="20"/>
        </w:rPr>
        <w:t xml:space="preserve"> 1</w:t>
      </w:r>
      <w:r w:rsidR="006D3047">
        <w:rPr>
          <w:rFonts w:ascii="Arial" w:hAnsi="Arial"/>
          <w:sz w:val="20"/>
        </w:rPr>
        <w:t>.3</w:t>
      </w:r>
      <w:r>
        <w:rPr>
          <w:rFonts w:ascii="Arial" w:hAnsi="Arial"/>
          <w:sz w:val="20"/>
        </w:rPr>
        <w:t xml:space="preserve"> puntos lo que r</w:t>
      </w:r>
      <w:r w:rsidR="00862B13">
        <w:rPr>
          <w:rFonts w:ascii="Arial" w:hAnsi="Arial"/>
          <w:sz w:val="20"/>
        </w:rPr>
        <w:t xml:space="preserve">epresenta  una variación </w:t>
      </w:r>
      <w:r w:rsidR="00880E80">
        <w:rPr>
          <w:rFonts w:ascii="Arial" w:hAnsi="Arial"/>
          <w:sz w:val="20"/>
        </w:rPr>
        <w:t>positiva</w:t>
      </w:r>
      <w:r w:rsidR="00100C3F">
        <w:rPr>
          <w:rFonts w:ascii="Arial" w:hAnsi="Arial"/>
          <w:sz w:val="20"/>
        </w:rPr>
        <w:t xml:space="preserve"> </w:t>
      </w:r>
      <w:r w:rsidR="00862B13">
        <w:rPr>
          <w:rFonts w:ascii="Arial" w:hAnsi="Arial"/>
          <w:sz w:val="20"/>
        </w:rPr>
        <w:t xml:space="preserve">de </w:t>
      </w:r>
      <w:r w:rsidR="00B93501">
        <w:rPr>
          <w:rFonts w:ascii="Arial" w:hAnsi="Arial"/>
          <w:sz w:val="20"/>
        </w:rPr>
        <w:t>0.</w:t>
      </w:r>
      <w:r w:rsidR="00A34967">
        <w:rPr>
          <w:rFonts w:ascii="Arial" w:hAnsi="Arial"/>
          <w:sz w:val="20"/>
        </w:rPr>
        <w:t>8</w:t>
      </w:r>
      <w:r w:rsidR="006D3047">
        <w:rPr>
          <w:rFonts w:ascii="Arial" w:hAnsi="Arial"/>
          <w:sz w:val="20"/>
        </w:rPr>
        <w:t>9</w:t>
      </w:r>
      <w:r>
        <w:rPr>
          <w:rFonts w:ascii="Arial" w:hAnsi="Arial"/>
          <w:sz w:val="20"/>
        </w:rPr>
        <w:t xml:space="preserve">%. De acuerdo al incremento absoluto, el índice de </w:t>
      </w:r>
      <w:r>
        <w:rPr>
          <w:rFonts w:ascii="Arial" w:hAnsi="Arial"/>
          <w:b/>
          <w:i/>
          <w:sz w:val="20"/>
        </w:rPr>
        <w:t>Empleados</w:t>
      </w:r>
      <w:r>
        <w:rPr>
          <w:rFonts w:ascii="Arial" w:hAnsi="Arial"/>
          <w:sz w:val="20"/>
        </w:rPr>
        <w:t xml:space="preserve"> es el de mayor incidencia en la evolución  registrada por el índice general de empleo de los trabajadores ocupados.</w:t>
      </w:r>
    </w:p>
    <w:p w:rsidR="00BC5566" w:rsidRDefault="00BC5566" w:rsidP="00BC5566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Las secciones que en sus índices han tenido mayor variación absoluta y que han aportado en el crecimiento del índice general de </w:t>
      </w:r>
      <w:r w:rsidRPr="00B90B0E">
        <w:rPr>
          <w:rFonts w:ascii="Arial" w:hAnsi="Arial"/>
          <w:b/>
          <w:i/>
          <w:sz w:val="20"/>
        </w:rPr>
        <w:t>Empleo de los  trabajadores</w:t>
      </w:r>
      <w:r>
        <w:rPr>
          <w:rFonts w:ascii="Arial" w:hAnsi="Arial"/>
          <w:sz w:val="20"/>
        </w:rPr>
        <w:t xml:space="preserve"> son:</w:t>
      </w:r>
    </w:p>
    <w:p w:rsidR="00A8108E" w:rsidRPr="0021449D" w:rsidRDefault="006D3047" w:rsidP="00A8108E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G</w:t>
      </w:r>
      <w:r w:rsidR="00A8108E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 w:rsidR="00A8108E" w:rsidRPr="003E46BA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6D3047">
        <w:rPr>
          <w:rFonts w:ascii="Arial" w:hAnsi="Arial" w:cs="Arial"/>
          <w:b/>
          <w:color w:val="000000"/>
          <w:sz w:val="20"/>
          <w:szCs w:val="20"/>
        </w:rPr>
        <w:t>COMERCIO AL POR MAYOR Y AL POR MENOR; REPARACIÓN DE VEHÍCULOS AUTOMOTORES, MOTOCICLETAS, EFECTOS PERSONALES Y ENSERES DOMÉSTICOS</w:t>
      </w:r>
    </w:p>
    <w:p w:rsidR="00BC5566" w:rsidRPr="00AD30B2" w:rsidRDefault="00BC5566" w:rsidP="00BC5566">
      <w:pPr>
        <w:ind w:left="720"/>
        <w:rPr>
          <w:rFonts w:ascii="Arial" w:hAnsi="Arial" w:cs="Arial"/>
          <w:b/>
          <w:color w:val="000000"/>
          <w:sz w:val="14"/>
          <w:szCs w:val="14"/>
        </w:rPr>
      </w:pPr>
    </w:p>
    <w:p w:rsidR="00BC5566" w:rsidRPr="00DB1517" w:rsidRDefault="00BC5566" w:rsidP="00BC5566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sz w:val="20"/>
        </w:rPr>
        <w:t>Esta sección presenta un significativ</w:t>
      </w:r>
      <w:r w:rsidR="009E57FF">
        <w:rPr>
          <w:rFonts w:ascii="Arial" w:hAnsi="Arial"/>
          <w:sz w:val="20"/>
        </w:rPr>
        <w:t xml:space="preserve">o </w:t>
      </w:r>
      <w:r w:rsidR="00CA0C0B">
        <w:rPr>
          <w:rFonts w:ascii="Arial" w:hAnsi="Arial"/>
          <w:sz w:val="20"/>
        </w:rPr>
        <w:t xml:space="preserve">crecimiento absoluto igual a </w:t>
      </w:r>
      <w:r w:rsidR="0079303B">
        <w:rPr>
          <w:rFonts w:ascii="Arial" w:hAnsi="Arial"/>
          <w:sz w:val="20"/>
        </w:rPr>
        <w:t>20.</w:t>
      </w:r>
      <w:r w:rsidR="00B868DD">
        <w:rPr>
          <w:rFonts w:ascii="Arial" w:hAnsi="Arial"/>
          <w:sz w:val="20"/>
        </w:rPr>
        <w:t>2</w:t>
      </w:r>
      <w:r>
        <w:rPr>
          <w:rFonts w:ascii="Arial" w:hAnsi="Arial"/>
          <w:sz w:val="20"/>
        </w:rPr>
        <w:t xml:space="preserve"> puntos, lo</w:t>
      </w:r>
      <w:r w:rsidR="00B868DD">
        <w:rPr>
          <w:rFonts w:ascii="Arial" w:hAnsi="Arial"/>
          <w:sz w:val="20"/>
        </w:rPr>
        <w:t xml:space="preserve"> que equivale  una variación de 7.83</w:t>
      </w:r>
      <w:r>
        <w:rPr>
          <w:rFonts w:ascii="Arial" w:hAnsi="Arial"/>
          <w:sz w:val="20"/>
        </w:rPr>
        <w:t xml:space="preserve">% para el período de estudio. El crecimiento de esta sección radica en el importante aumento que ha tenido la división </w:t>
      </w:r>
      <w:r w:rsidR="00B868DD">
        <w:rPr>
          <w:rFonts w:ascii="Arial" w:hAnsi="Arial" w:cs="Arial"/>
          <w:i/>
          <w:sz w:val="20"/>
          <w:szCs w:val="20"/>
        </w:rPr>
        <w:t>G52</w:t>
      </w:r>
      <w:r w:rsidR="00CA0C0B">
        <w:rPr>
          <w:rFonts w:ascii="Arial" w:hAnsi="Arial" w:cs="Arial"/>
          <w:i/>
          <w:sz w:val="20"/>
          <w:szCs w:val="20"/>
        </w:rPr>
        <w:t xml:space="preserve"> </w:t>
      </w:r>
      <w:r w:rsidR="00B868DD">
        <w:rPr>
          <w:rFonts w:ascii="Arial" w:hAnsi="Arial" w:cs="Arial"/>
          <w:i/>
          <w:sz w:val="20"/>
          <w:szCs w:val="20"/>
        </w:rPr>
        <w:t>Comercio al por menor, excepto el comercio de vehículos automotores y motocicletas; reparación de efectos personales y enseres domésticos</w:t>
      </w:r>
      <w:r w:rsidR="00CA0C0B">
        <w:rPr>
          <w:rFonts w:ascii="Arial" w:hAnsi="Arial" w:cs="Arial"/>
          <w:i/>
          <w:sz w:val="20"/>
          <w:szCs w:val="20"/>
        </w:rPr>
        <w:t xml:space="preserve">, </w:t>
      </w:r>
      <w:r w:rsidR="00CA0C0B">
        <w:rPr>
          <w:rFonts w:ascii="Arial" w:hAnsi="Arial" w:cs="Arial"/>
          <w:sz w:val="20"/>
          <w:szCs w:val="20"/>
        </w:rPr>
        <w:t xml:space="preserve"> </w:t>
      </w:r>
      <w:r w:rsidRPr="00353682">
        <w:rPr>
          <w:rFonts w:ascii="Arial" w:hAnsi="Arial"/>
          <w:sz w:val="20"/>
        </w:rPr>
        <w:t xml:space="preserve">que crece </w:t>
      </w:r>
      <w:r>
        <w:rPr>
          <w:rFonts w:ascii="Arial" w:hAnsi="Arial"/>
          <w:sz w:val="20"/>
        </w:rPr>
        <w:t xml:space="preserve">en </w:t>
      </w:r>
      <w:r w:rsidR="00B868DD">
        <w:rPr>
          <w:rFonts w:ascii="Arial" w:hAnsi="Arial"/>
          <w:sz w:val="20"/>
        </w:rPr>
        <w:t>45.20</w:t>
      </w:r>
      <w:r w:rsidRPr="00DB1517">
        <w:rPr>
          <w:rFonts w:ascii="Arial" w:hAnsi="Arial"/>
          <w:sz w:val="20"/>
        </w:rPr>
        <w:t xml:space="preserve"> puntos que r</w:t>
      </w:r>
      <w:r w:rsidRPr="00DB1517">
        <w:rPr>
          <w:rFonts w:ascii="Arial" w:hAnsi="Arial" w:cs="Arial"/>
          <w:sz w:val="20"/>
          <w:szCs w:val="20"/>
        </w:rPr>
        <w:t>epresentan</w:t>
      </w:r>
      <w:r w:rsidR="00197C5A">
        <w:rPr>
          <w:rFonts w:ascii="Arial" w:hAnsi="Arial" w:cs="Arial"/>
          <w:sz w:val="20"/>
          <w:szCs w:val="20"/>
        </w:rPr>
        <w:t xml:space="preserve"> un </w:t>
      </w:r>
      <w:r w:rsidR="00B93501">
        <w:rPr>
          <w:rFonts w:ascii="Arial" w:hAnsi="Arial" w:cs="Arial"/>
          <w:sz w:val="20"/>
          <w:szCs w:val="20"/>
        </w:rPr>
        <w:t>1</w:t>
      </w:r>
      <w:r w:rsidR="00B868DD">
        <w:rPr>
          <w:rFonts w:ascii="Arial" w:hAnsi="Arial" w:cs="Arial"/>
          <w:sz w:val="20"/>
          <w:szCs w:val="20"/>
        </w:rPr>
        <w:t>3.11</w:t>
      </w:r>
      <w:r w:rsidRPr="00DB1517">
        <w:rPr>
          <w:rFonts w:ascii="Arial" w:hAnsi="Arial" w:cs="Arial"/>
          <w:sz w:val="20"/>
          <w:szCs w:val="20"/>
        </w:rPr>
        <w:t>% de variación.</w:t>
      </w:r>
    </w:p>
    <w:p w:rsidR="00BC5566" w:rsidRPr="00BC5566" w:rsidRDefault="00B868DD" w:rsidP="00BC5566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J</w:t>
      </w:r>
      <w:r w:rsidR="00BC5566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 w:rsidR="00BC5566" w:rsidRPr="003E46BA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color w:val="000000"/>
          <w:sz w:val="20"/>
          <w:szCs w:val="20"/>
        </w:rPr>
        <w:t>INTERMEDIACIÓN FINANCIERA</w:t>
      </w:r>
    </w:p>
    <w:p w:rsidR="00BC5566" w:rsidRPr="00117215" w:rsidRDefault="00BC5566" w:rsidP="00BC5566">
      <w:pPr>
        <w:spacing w:after="0" w:line="240" w:lineRule="auto"/>
        <w:ind w:left="720"/>
        <w:rPr>
          <w:rFonts w:ascii="Arial" w:hAnsi="Arial" w:cs="Arial"/>
          <w:color w:val="000000"/>
          <w:sz w:val="20"/>
          <w:szCs w:val="20"/>
        </w:rPr>
      </w:pPr>
    </w:p>
    <w:p w:rsidR="00BC5566" w:rsidRPr="00947EA4" w:rsidRDefault="00BC5566" w:rsidP="00BC5566">
      <w:pPr>
        <w:jc w:val="both"/>
        <w:rPr>
          <w:rFonts w:ascii="Arial" w:hAnsi="Arial" w:cs="Arial"/>
          <w:color w:val="000000"/>
          <w:sz w:val="20"/>
          <w:szCs w:val="20"/>
        </w:rPr>
      </w:pPr>
      <w:r w:rsidRPr="00C04CC2">
        <w:rPr>
          <w:rFonts w:ascii="Arial" w:hAnsi="Arial" w:cs="Arial"/>
          <w:sz w:val="20"/>
          <w:szCs w:val="20"/>
        </w:rPr>
        <w:t>En esta sección, para el período</w:t>
      </w:r>
      <w:r>
        <w:rPr>
          <w:rFonts w:ascii="Arial" w:hAnsi="Arial" w:cs="Arial"/>
          <w:sz w:val="20"/>
          <w:szCs w:val="20"/>
        </w:rPr>
        <w:t xml:space="preserve"> </w:t>
      </w:r>
      <w:r w:rsidR="00B868DD">
        <w:rPr>
          <w:rFonts w:ascii="Arial" w:hAnsi="Arial"/>
          <w:sz w:val="20"/>
        </w:rPr>
        <w:t>enero</w:t>
      </w:r>
      <w:r w:rsidR="00CA0C0B">
        <w:rPr>
          <w:rFonts w:ascii="Arial" w:hAnsi="Arial"/>
          <w:sz w:val="20"/>
        </w:rPr>
        <w:t xml:space="preserve"> a </w:t>
      </w:r>
      <w:r w:rsidR="00B868DD">
        <w:rPr>
          <w:rFonts w:ascii="Arial" w:hAnsi="Arial"/>
          <w:sz w:val="20"/>
        </w:rPr>
        <w:t>dicie</w:t>
      </w:r>
      <w:r w:rsidR="00836733">
        <w:rPr>
          <w:rFonts w:ascii="Arial" w:hAnsi="Arial"/>
          <w:sz w:val="20"/>
        </w:rPr>
        <w:t>m</w:t>
      </w:r>
      <w:r w:rsidR="00B93501">
        <w:rPr>
          <w:rFonts w:ascii="Arial" w:hAnsi="Arial"/>
          <w:sz w:val="20"/>
        </w:rPr>
        <w:t>bre</w:t>
      </w:r>
      <w:r w:rsidR="00CA0C0B">
        <w:rPr>
          <w:rFonts w:ascii="Arial" w:hAnsi="Arial"/>
          <w:sz w:val="20"/>
        </w:rPr>
        <w:t xml:space="preserve"> 2013</w:t>
      </w:r>
      <w:r w:rsidR="00B72631">
        <w:rPr>
          <w:rFonts w:ascii="Arial" w:hAnsi="Arial"/>
          <w:sz w:val="20"/>
        </w:rPr>
        <w:t xml:space="preserve">  </w:t>
      </w:r>
      <w:r w:rsidRPr="00C04CC2">
        <w:rPr>
          <w:rFonts w:ascii="Arial" w:hAnsi="Arial" w:cs="Arial"/>
          <w:sz w:val="20"/>
          <w:szCs w:val="20"/>
        </w:rPr>
        <w:t xml:space="preserve">se observa un crecimiento </w:t>
      </w:r>
      <w:r>
        <w:rPr>
          <w:rFonts w:ascii="Arial" w:hAnsi="Arial" w:cs="Arial"/>
          <w:sz w:val="20"/>
          <w:szCs w:val="20"/>
        </w:rPr>
        <w:t>d</w:t>
      </w:r>
      <w:r w:rsidRPr="00C04CC2">
        <w:rPr>
          <w:rFonts w:ascii="Arial" w:hAnsi="Arial" w:cs="Arial"/>
          <w:sz w:val="20"/>
          <w:szCs w:val="20"/>
        </w:rPr>
        <w:t>el índice</w:t>
      </w:r>
      <w:r>
        <w:rPr>
          <w:rFonts w:ascii="Arial" w:hAnsi="Arial" w:cs="Arial"/>
          <w:sz w:val="20"/>
          <w:szCs w:val="20"/>
        </w:rPr>
        <w:t xml:space="preserve"> que</w:t>
      </w:r>
      <w:r w:rsidRPr="00C04CC2">
        <w:rPr>
          <w:rFonts w:ascii="Arial" w:hAnsi="Arial" w:cs="Arial"/>
          <w:sz w:val="20"/>
          <w:szCs w:val="20"/>
        </w:rPr>
        <w:t xml:space="preserve"> aumenta en </w:t>
      </w:r>
      <w:r w:rsidR="00B868DD">
        <w:rPr>
          <w:rFonts w:ascii="Arial" w:hAnsi="Arial" w:cs="Arial"/>
          <w:sz w:val="20"/>
          <w:szCs w:val="20"/>
        </w:rPr>
        <w:t>18.6</w:t>
      </w:r>
      <w:r>
        <w:rPr>
          <w:rFonts w:ascii="Arial" w:hAnsi="Arial" w:cs="Arial"/>
          <w:sz w:val="20"/>
          <w:szCs w:val="20"/>
        </w:rPr>
        <w:t xml:space="preserve"> </w:t>
      </w:r>
      <w:r w:rsidRPr="00C04CC2">
        <w:rPr>
          <w:rFonts w:ascii="Arial" w:hAnsi="Arial" w:cs="Arial"/>
          <w:sz w:val="20"/>
          <w:szCs w:val="20"/>
        </w:rPr>
        <w:t>puntos y la variación equivale a</w:t>
      </w:r>
      <w:r w:rsidR="002E55F7">
        <w:rPr>
          <w:rFonts w:ascii="Arial" w:hAnsi="Arial" w:cs="Arial"/>
          <w:sz w:val="20"/>
          <w:szCs w:val="20"/>
        </w:rPr>
        <w:t xml:space="preserve"> </w:t>
      </w:r>
      <w:r w:rsidR="00B868DD">
        <w:rPr>
          <w:rFonts w:ascii="Arial" w:hAnsi="Arial" w:cs="Arial"/>
          <w:sz w:val="20"/>
          <w:szCs w:val="20"/>
        </w:rPr>
        <w:t>9.89</w:t>
      </w:r>
      <w:r w:rsidRPr="00C04CC2">
        <w:rPr>
          <w:rFonts w:ascii="Arial" w:hAnsi="Arial" w:cs="Arial"/>
          <w:sz w:val="20"/>
          <w:szCs w:val="20"/>
        </w:rPr>
        <w:t xml:space="preserve">%. </w:t>
      </w:r>
      <w:r>
        <w:rPr>
          <w:rFonts w:ascii="Arial" w:hAnsi="Arial" w:cs="Arial"/>
          <w:sz w:val="20"/>
          <w:szCs w:val="20"/>
        </w:rPr>
        <w:t xml:space="preserve"> El  crecimiento de esta sección se debe principalmente al incremento de la división  </w:t>
      </w:r>
      <w:r w:rsidR="00B868DD">
        <w:rPr>
          <w:rFonts w:ascii="Arial" w:hAnsi="Arial" w:cs="Arial"/>
          <w:i/>
          <w:sz w:val="20"/>
          <w:szCs w:val="20"/>
        </w:rPr>
        <w:t>J66</w:t>
      </w:r>
      <w:r>
        <w:rPr>
          <w:rFonts w:ascii="Arial" w:hAnsi="Arial" w:cs="Arial"/>
          <w:sz w:val="20"/>
          <w:szCs w:val="20"/>
        </w:rPr>
        <w:t xml:space="preserve"> </w:t>
      </w:r>
      <w:r w:rsidR="00926F3B">
        <w:rPr>
          <w:rFonts w:ascii="Arial" w:hAnsi="Arial" w:cs="Arial"/>
          <w:i/>
          <w:sz w:val="20"/>
          <w:szCs w:val="20"/>
        </w:rPr>
        <w:t>Financiación de planes de seguros y de pensiones, excepto los planes de seguridad social de afiliación obligatoria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2E55F7">
        <w:rPr>
          <w:rFonts w:ascii="Arial" w:hAnsi="Arial" w:cs="Arial"/>
          <w:sz w:val="20"/>
          <w:szCs w:val="20"/>
        </w:rPr>
        <w:t xml:space="preserve">que presenta una variación de </w:t>
      </w:r>
      <w:r w:rsidR="00926F3B">
        <w:rPr>
          <w:rFonts w:ascii="Arial" w:hAnsi="Arial" w:cs="Arial"/>
          <w:sz w:val="20"/>
          <w:szCs w:val="20"/>
        </w:rPr>
        <w:t>21.6</w:t>
      </w:r>
      <w:r w:rsidR="00836733">
        <w:rPr>
          <w:rFonts w:ascii="Arial" w:hAnsi="Arial" w:cs="Arial"/>
          <w:sz w:val="20"/>
          <w:szCs w:val="20"/>
        </w:rPr>
        <w:t>0</w:t>
      </w:r>
      <w:r w:rsidR="0061006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puntos igual a </w:t>
      </w:r>
      <w:r w:rsidR="00926F3B">
        <w:rPr>
          <w:rFonts w:ascii="Arial" w:hAnsi="Arial" w:cs="Arial"/>
          <w:sz w:val="20"/>
          <w:szCs w:val="20"/>
        </w:rPr>
        <w:t>11.80</w:t>
      </w:r>
      <w:r>
        <w:rPr>
          <w:rFonts w:ascii="Arial" w:hAnsi="Arial" w:cs="Arial"/>
          <w:sz w:val="20"/>
          <w:szCs w:val="20"/>
        </w:rPr>
        <w:t xml:space="preserve">% de variación en el período estudiado.  </w:t>
      </w:r>
    </w:p>
    <w:sectPr w:rsidR="00BC5566" w:rsidRPr="00947EA4" w:rsidSect="008222B0">
      <w:headerReference w:type="default" r:id="rId8"/>
      <w:footerReference w:type="default" r:id="rId9"/>
      <w:pgSz w:w="16839" w:h="11907" w:orient="landscape" w:code="9"/>
      <w:pgMar w:top="2127" w:right="2097" w:bottom="1843" w:left="1843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4D2F" w:rsidRDefault="00FF4D2F" w:rsidP="00AE2F3C">
      <w:pPr>
        <w:spacing w:after="0" w:line="240" w:lineRule="auto"/>
      </w:pPr>
      <w:r>
        <w:separator/>
      </w:r>
    </w:p>
  </w:endnote>
  <w:endnote w:type="continuationSeparator" w:id="0">
    <w:p w:rsidR="00FF4D2F" w:rsidRDefault="00FF4D2F" w:rsidP="00AE2F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AE8" w:rsidRPr="009544CB" w:rsidRDefault="0093484B">
    <w:pPr>
      <w:pStyle w:val="Piedepgina"/>
      <w:jc w:val="center"/>
      <w:rPr>
        <w:b/>
        <w:color w:val="4F81BD"/>
      </w:rPr>
    </w:pPr>
    <w:r w:rsidRPr="009544CB">
      <w:rPr>
        <w:b/>
        <w:color w:val="4F81BD"/>
      </w:rPr>
      <w:fldChar w:fldCharType="begin"/>
    </w:r>
    <w:r w:rsidR="00A9342C" w:rsidRPr="009544CB">
      <w:rPr>
        <w:b/>
        <w:color w:val="4F81BD"/>
      </w:rPr>
      <w:instrText xml:space="preserve"> PAGE   \* MERGEFORMAT </w:instrText>
    </w:r>
    <w:r w:rsidRPr="009544CB">
      <w:rPr>
        <w:b/>
        <w:color w:val="4F81BD"/>
      </w:rPr>
      <w:fldChar w:fldCharType="separate"/>
    </w:r>
    <w:r w:rsidR="0079303B">
      <w:rPr>
        <w:b/>
        <w:noProof/>
        <w:color w:val="4F81BD"/>
      </w:rPr>
      <w:t>1</w:t>
    </w:r>
    <w:r w:rsidRPr="009544CB">
      <w:rPr>
        <w:b/>
        <w:color w:val="4F81BD"/>
      </w:rPr>
      <w:fldChar w:fldCharType="end"/>
    </w:r>
  </w:p>
  <w:p w:rsidR="00130AE8" w:rsidRDefault="00130AE8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4D2F" w:rsidRDefault="00FF4D2F" w:rsidP="00AE2F3C">
      <w:pPr>
        <w:spacing w:after="0" w:line="240" w:lineRule="auto"/>
      </w:pPr>
      <w:r>
        <w:separator/>
      </w:r>
    </w:p>
  </w:footnote>
  <w:footnote w:type="continuationSeparator" w:id="0">
    <w:p w:rsidR="00FF4D2F" w:rsidRDefault="00FF4D2F" w:rsidP="00AE2F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4CB" w:rsidRDefault="00767C9F" w:rsidP="00FC085F">
    <w:pPr>
      <w:pStyle w:val="Encabezado"/>
      <w:ind w:left="-1843"/>
    </w:pPr>
    <w:r w:rsidRPr="00767C9F">
      <w:rPr>
        <w:noProof/>
        <w:lang w:val="es-ES" w:eastAsia="es-ES"/>
      </w:rPr>
      <w:drawing>
        <wp:inline distT="0" distB="0" distL="0" distR="0">
          <wp:extent cx="10709201" cy="795390"/>
          <wp:effectExtent l="19050" t="0" r="0" b="0"/>
          <wp:docPr id="1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a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712030" cy="795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8421C"/>
    <w:multiLevelType w:val="hybridMultilevel"/>
    <w:tmpl w:val="CF184BB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CE07FB"/>
    <w:multiLevelType w:val="hybridMultilevel"/>
    <w:tmpl w:val="C772E74E"/>
    <w:lvl w:ilvl="0" w:tplc="106EB0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C0A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  <w:szCs w:val="20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90A2BDC"/>
    <w:multiLevelType w:val="hybridMultilevel"/>
    <w:tmpl w:val="813A23C8"/>
    <w:lvl w:ilvl="0" w:tplc="300A000F">
      <w:start w:val="1"/>
      <w:numFmt w:val="decimal"/>
      <w:lvlText w:val="%1."/>
      <w:lvlJc w:val="left"/>
      <w:pPr>
        <w:ind w:left="765" w:hanging="360"/>
      </w:pPr>
    </w:lvl>
    <w:lvl w:ilvl="1" w:tplc="300A0019" w:tentative="1">
      <w:start w:val="1"/>
      <w:numFmt w:val="lowerLetter"/>
      <w:lvlText w:val="%2."/>
      <w:lvlJc w:val="left"/>
      <w:pPr>
        <w:ind w:left="1485" w:hanging="360"/>
      </w:pPr>
    </w:lvl>
    <w:lvl w:ilvl="2" w:tplc="300A001B" w:tentative="1">
      <w:start w:val="1"/>
      <w:numFmt w:val="lowerRoman"/>
      <w:lvlText w:val="%3."/>
      <w:lvlJc w:val="right"/>
      <w:pPr>
        <w:ind w:left="2205" w:hanging="180"/>
      </w:pPr>
    </w:lvl>
    <w:lvl w:ilvl="3" w:tplc="300A000F" w:tentative="1">
      <w:start w:val="1"/>
      <w:numFmt w:val="decimal"/>
      <w:lvlText w:val="%4."/>
      <w:lvlJc w:val="left"/>
      <w:pPr>
        <w:ind w:left="2925" w:hanging="360"/>
      </w:pPr>
    </w:lvl>
    <w:lvl w:ilvl="4" w:tplc="300A0019" w:tentative="1">
      <w:start w:val="1"/>
      <w:numFmt w:val="lowerLetter"/>
      <w:lvlText w:val="%5."/>
      <w:lvlJc w:val="left"/>
      <w:pPr>
        <w:ind w:left="3645" w:hanging="360"/>
      </w:pPr>
    </w:lvl>
    <w:lvl w:ilvl="5" w:tplc="300A001B" w:tentative="1">
      <w:start w:val="1"/>
      <w:numFmt w:val="lowerRoman"/>
      <w:lvlText w:val="%6."/>
      <w:lvlJc w:val="right"/>
      <w:pPr>
        <w:ind w:left="4365" w:hanging="180"/>
      </w:pPr>
    </w:lvl>
    <w:lvl w:ilvl="6" w:tplc="300A000F" w:tentative="1">
      <w:start w:val="1"/>
      <w:numFmt w:val="decimal"/>
      <w:lvlText w:val="%7."/>
      <w:lvlJc w:val="left"/>
      <w:pPr>
        <w:ind w:left="5085" w:hanging="360"/>
      </w:pPr>
    </w:lvl>
    <w:lvl w:ilvl="7" w:tplc="300A0019" w:tentative="1">
      <w:start w:val="1"/>
      <w:numFmt w:val="lowerLetter"/>
      <w:lvlText w:val="%8."/>
      <w:lvlJc w:val="left"/>
      <w:pPr>
        <w:ind w:left="5805" w:hanging="360"/>
      </w:pPr>
    </w:lvl>
    <w:lvl w:ilvl="8" w:tplc="30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6D605DF6"/>
    <w:multiLevelType w:val="hybridMultilevel"/>
    <w:tmpl w:val="FD5092C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6802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37C3B"/>
    <w:rsid w:val="000041FF"/>
    <w:rsid w:val="00010CA7"/>
    <w:rsid w:val="000159AB"/>
    <w:rsid w:val="00016194"/>
    <w:rsid w:val="00030397"/>
    <w:rsid w:val="00053AE5"/>
    <w:rsid w:val="000639FF"/>
    <w:rsid w:val="000725FE"/>
    <w:rsid w:val="000771D9"/>
    <w:rsid w:val="00081510"/>
    <w:rsid w:val="00083632"/>
    <w:rsid w:val="00092031"/>
    <w:rsid w:val="000B0B61"/>
    <w:rsid w:val="000B339D"/>
    <w:rsid w:val="000C547C"/>
    <w:rsid w:val="000C56CD"/>
    <w:rsid w:val="000C72D9"/>
    <w:rsid w:val="000D57EA"/>
    <w:rsid w:val="000E1643"/>
    <w:rsid w:val="00100C3F"/>
    <w:rsid w:val="00105DE2"/>
    <w:rsid w:val="00114556"/>
    <w:rsid w:val="001163D1"/>
    <w:rsid w:val="00120CB0"/>
    <w:rsid w:val="00120E36"/>
    <w:rsid w:val="0013093E"/>
    <w:rsid w:val="00130AE8"/>
    <w:rsid w:val="00132F24"/>
    <w:rsid w:val="00136D33"/>
    <w:rsid w:val="00156A4C"/>
    <w:rsid w:val="00162732"/>
    <w:rsid w:val="00163039"/>
    <w:rsid w:val="00171C5B"/>
    <w:rsid w:val="001728D0"/>
    <w:rsid w:val="0019214B"/>
    <w:rsid w:val="00197C5A"/>
    <w:rsid w:val="001A08B4"/>
    <w:rsid w:val="001A313B"/>
    <w:rsid w:val="001B0D6B"/>
    <w:rsid w:val="001B75EA"/>
    <w:rsid w:val="001C0D00"/>
    <w:rsid w:val="001C34C2"/>
    <w:rsid w:val="001D255A"/>
    <w:rsid w:val="001E072A"/>
    <w:rsid w:val="001E1100"/>
    <w:rsid w:val="001F728A"/>
    <w:rsid w:val="002017A6"/>
    <w:rsid w:val="00212660"/>
    <w:rsid w:val="002203CB"/>
    <w:rsid w:val="00225C69"/>
    <w:rsid w:val="002410C6"/>
    <w:rsid w:val="0024407B"/>
    <w:rsid w:val="00244524"/>
    <w:rsid w:val="002467B0"/>
    <w:rsid w:val="00251A3C"/>
    <w:rsid w:val="002810D2"/>
    <w:rsid w:val="00281512"/>
    <w:rsid w:val="00287BB6"/>
    <w:rsid w:val="002914D3"/>
    <w:rsid w:val="00296A47"/>
    <w:rsid w:val="002A30D6"/>
    <w:rsid w:val="002A532F"/>
    <w:rsid w:val="002B711D"/>
    <w:rsid w:val="002C3B8D"/>
    <w:rsid w:val="002E2BE6"/>
    <w:rsid w:val="002E55F7"/>
    <w:rsid w:val="002E7AC9"/>
    <w:rsid w:val="002F1C4A"/>
    <w:rsid w:val="002F3F70"/>
    <w:rsid w:val="0031628A"/>
    <w:rsid w:val="003672BB"/>
    <w:rsid w:val="003A063B"/>
    <w:rsid w:val="003A4FCE"/>
    <w:rsid w:val="003C292D"/>
    <w:rsid w:val="003C3DCC"/>
    <w:rsid w:val="003D21AD"/>
    <w:rsid w:val="003E759C"/>
    <w:rsid w:val="003F6BFF"/>
    <w:rsid w:val="003F6E74"/>
    <w:rsid w:val="00400FA8"/>
    <w:rsid w:val="004130E9"/>
    <w:rsid w:val="004143A5"/>
    <w:rsid w:val="00424B3A"/>
    <w:rsid w:val="00427E56"/>
    <w:rsid w:val="00437C3B"/>
    <w:rsid w:val="00440FEF"/>
    <w:rsid w:val="0046153E"/>
    <w:rsid w:val="00466C47"/>
    <w:rsid w:val="004951E3"/>
    <w:rsid w:val="004B1486"/>
    <w:rsid w:val="004B6A13"/>
    <w:rsid w:val="004B7E0E"/>
    <w:rsid w:val="004C3CFF"/>
    <w:rsid w:val="004E14AA"/>
    <w:rsid w:val="004F4742"/>
    <w:rsid w:val="004F6996"/>
    <w:rsid w:val="004F6D11"/>
    <w:rsid w:val="00506A9E"/>
    <w:rsid w:val="0052228A"/>
    <w:rsid w:val="0052624E"/>
    <w:rsid w:val="00526405"/>
    <w:rsid w:val="00531B33"/>
    <w:rsid w:val="00534F24"/>
    <w:rsid w:val="00535FD9"/>
    <w:rsid w:val="005442FE"/>
    <w:rsid w:val="00550016"/>
    <w:rsid w:val="00560ABA"/>
    <w:rsid w:val="005619C9"/>
    <w:rsid w:val="00564B8C"/>
    <w:rsid w:val="0057413A"/>
    <w:rsid w:val="00580BD0"/>
    <w:rsid w:val="00582977"/>
    <w:rsid w:val="00582A36"/>
    <w:rsid w:val="005849B9"/>
    <w:rsid w:val="00584E3E"/>
    <w:rsid w:val="005B5148"/>
    <w:rsid w:val="005C42AF"/>
    <w:rsid w:val="005D62A6"/>
    <w:rsid w:val="005D7887"/>
    <w:rsid w:val="005F1F88"/>
    <w:rsid w:val="00606487"/>
    <w:rsid w:val="00610062"/>
    <w:rsid w:val="00612C00"/>
    <w:rsid w:val="00635A82"/>
    <w:rsid w:val="00647FA0"/>
    <w:rsid w:val="00662262"/>
    <w:rsid w:val="00663770"/>
    <w:rsid w:val="00693785"/>
    <w:rsid w:val="006A4131"/>
    <w:rsid w:val="006B2CA1"/>
    <w:rsid w:val="006B6D0A"/>
    <w:rsid w:val="006C6B56"/>
    <w:rsid w:val="006D3047"/>
    <w:rsid w:val="006E66A7"/>
    <w:rsid w:val="006E6D2F"/>
    <w:rsid w:val="006F4001"/>
    <w:rsid w:val="00703D91"/>
    <w:rsid w:val="007159AD"/>
    <w:rsid w:val="00733E9A"/>
    <w:rsid w:val="00734BAD"/>
    <w:rsid w:val="00767C9F"/>
    <w:rsid w:val="00780216"/>
    <w:rsid w:val="0079303B"/>
    <w:rsid w:val="007970D0"/>
    <w:rsid w:val="007A0009"/>
    <w:rsid w:val="007A5264"/>
    <w:rsid w:val="007B626D"/>
    <w:rsid w:val="007C0122"/>
    <w:rsid w:val="007C1324"/>
    <w:rsid w:val="007C71FC"/>
    <w:rsid w:val="007D7180"/>
    <w:rsid w:val="007E3A82"/>
    <w:rsid w:val="007F6ADD"/>
    <w:rsid w:val="00803228"/>
    <w:rsid w:val="0080423B"/>
    <w:rsid w:val="00812325"/>
    <w:rsid w:val="008144BB"/>
    <w:rsid w:val="008222B0"/>
    <w:rsid w:val="0083456E"/>
    <w:rsid w:val="00835CE5"/>
    <w:rsid w:val="00836668"/>
    <w:rsid w:val="00836733"/>
    <w:rsid w:val="008503BC"/>
    <w:rsid w:val="008521B1"/>
    <w:rsid w:val="00852AD6"/>
    <w:rsid w:val="00862B13"/>
    <w:rsid w:val="00876C66"/>
    <w:rsid w:val="00877377"/>
    <w:rsid w:val="00880E80"/>
    <w:rsid w:val="0088109D"/>
    <w:rsid w:val="008846FF"/>
    <w:rsid w:val="00894F18"/>
    <w:rsid w:val="00896E8B"/>
    <w:rsid w:val="0089773B"/>
    <w:rsid w:val="008A030F"/>
    <w:rsid w:val="008B3B2D"/>
    <w:rsid w:val="008B3F9F"/>
    <w:rsid w:val="008B44D1"/>
    <w:rsid w:val="008C6D81"/>
    <w:rsid w:val="008D1E6E"/>
    <w:rsid w:val="008D3540"/>
    <w:rsid w:val="008E3E94"/>
    <w:rsid w:val="008E7FA0"/>
    <w:rsid w:val="008F6CB5"/>
    <w:rsid w:val="00900891"/>
    <w:rsid w:val="00916643"/>
    <w:rsid w:val="009210D8"/>
    <w:rsid w:val="00922A49"/>
    <w:rsid w:val="00926F3B"/>
    <w:rsid w:val="009326AE"/>
    <w:rsid w:val="00934539"/>
    <w:rsid w:val="0093484B"/>
    <w:rsid w:val="009359E6"/>
    <w:rsid w:val="00942234"/>
    <w:rsid w:val="00943F33"/>
    <w:rsid w:val="009544CB"/>
    <w:rsid w:val="009614BE"/>
    <w:rsid w:val="00961B09"/>
    <w:rsid w:val="00966958"/>
    <w:rsid w:val="009726CD"/>
    <w:rsid w:val="009736E3"/>
    <w:rsid w:val="00973B50"/>
    <w:rsid w:val="00980D71"/>
    <w:rsid w:val="009A02B5"/>
    <w:rsid w:val="009A6C6D"/>
    <w:rsid w:val="009B0842"/>
    <w:rsid w:val="009B35C2"/>
    <w:rsid w:val="009C2CB6"/>
    <w:rsid w:val="009D50A2"/>
    <w:rsid w:val="009E57FF"/>
    <w:rsid w:val="00A1194D"/>
    <w:rsid w:val="00A12348"/>
    <w:rsid w:val="00A23698"/>
    <w:rsid w:val="00A26E6C"/>
    <w:rsid w:val="00A34967"/>
    <w:rsid w:val="00A55A4E"/>
    <w:rsid w:val="00A62C13"/>
    <w:rsid w:val="00A65255"/>
    <w:rsid w:val="00A7064A"/>
    <w:rsid w:val="00A765C7"/>
    <w:rsid w:val="00A8108E"/>
    <w:rsid w:val="00A9342C"/>
    <w:rsid w:val="00AC7423"/>
    <w:rsid w:val="00AD2F4F"/>
    <w:rsid w:val="00AD6E5E"/>
    <w:rsid w:val="00AE2F3C"/>
    <w:rsid w:val="00AE73D1"/>
    <w:rsid w:val="00B07F16"/>
    <w:rsid w:val="00B210B8"/>
    <w:rsid w:val="00B4184C"/>
    <w:rsid w:val="00B61BAA"/>
    <w:rsid w:val="00B655E2"/>
    <w:rsid w:val="00B6638F"/>
    <w:rsid w:val="00B710C7"/>
    <w:rsid w:val="00B723A7"/>
    <w:rsid w:val="00B72631"/>
    <w:rsid w:val="00B868DD"/>
    <w:rsid w:val="00B91FFB"/>
    <w:rsid w:val="00B93501"/>
    <w:rsid w:val="00B93B79"/>
    <w:rsid w:val="00BB7580"/>
    <w:rsid w:val="00BC0F91"/>
    <w:rsid w:val="00BC5566"/>
    <w:rsid w:val="00BC6301"/>
    <w:rsid w:val="00BF1DE8"/>
    <w:rsid w:val="00BF54E9"/>
    <w:rsid w:val="00BF72B0"/>
    <w:rsid w:val="00C01434"/>
    <w:rsid w:val="00C36CDA"/>
    <w:rsid w:val="00C57B9D"/>
    <w:rsid w:val="00C63427"/>
    <w:rsid w:val="00C6396F"/>
    <w:rsid w:val="00C672E5"/>
    <w:rsid w:val="00C74ED7"/>
    <w:rsid w:val="00C75F8A"/>
    <w:rsid w:val="00C7757C"/>
    <w:rsid w:val="00C91B7A"/>
    <w:rsid w:val="00CA0C0B"/>
    <w:rsid w:val="00CA0CC9"/>
    <w:rsid w:val="00CA6582"/>
    <w:rsid w:val="00CA6F72"/>
    <w:rsid w:val="00CA765D"/>
    <w:rsid w:val="00CB6657"/>
    <w:rsid w:val="00CC2E37"/>
    <w:rsid w:val="00CC6BE5"/>
    <w:rsid w:val="00CC71F0"/>
    <w:rsid w:val="00CD6F90"/>
    <w:rsid w:val="00CE1271"/>
    <w:rsid w:val="00CE60C8"/>
    <w:rsid w:val="00CF2AF7"/>
    <w:rsid w:val="00CF578F"/>
    <w:rsid w:val="00D06021"/>
    <w:rsid w:val="00D1182A"/>
    <w:rsid w:val="00D30450"/>
    <w:rsid w:val="00D31083"/>
    <w:rsid w:val="00D34E15"/>
    <w:rsid w:val="00D45017"/>
    <w:rsid w:val="00D4756D"/>
    <w:rsid w:val="00D523F4"/>
    <w:rsid w:val="00D66726"/>
    <w:rsid w:val="00D7115B"/>
    <w:rsid w:val="00D776A5"/>
    <w:rsid w:val="00D91CB7"/>
    <w:rsid w:val="00DA1FA7"/>
    <w:rsid w:val="00DB047A"/>
    <w:rsid w:val="00DB338C"/>
    <w:rsid w:val="00DC7276"/>
    <w:rsid w:val="00DC7EC2"/>
    <w:rsid w:val="00DE5FA1"/>
    <w:rsid w:val="00DE7206"/>
    <w:rsid w:val="00DF1B73"/>
    <w:rsid w:val="00E050FB"/>
    <w:rsid w:val="00E1546C"/>
    <w:rsid w:val="00E34F9C"/>
    <w:rsid w:val="00E55290"/>
    <w:rsid w:val="00E628BD"/>
    <w:rsid w:val="00E62A9F"/>
    <w:rsid w:val="00E7072E"/>
    <w:rsid w:val="00E72241"/>
    <w:rsid w:val="00E77AE5"/>
    <w:rsid w:val="00E81388"/>
    <w:rsid w:val="00E82FBD"/>
    <w:rsid w:val="00E85CDA"/>
    <w:rsid w:val="00E97429"/>
    <w:rsid w:val="00EA2559"/>
    <w:rsid w:val="00EB6440"/>
    <w:rsid w:val="00EC5CC9"/>
    <w:rsid w:val="00ED7FA1"/>
    <w:rsid w:val="00EE63E6"/>
    <w:rsid w:val="00EE7389"/>
    <w:rsid w:val="00EF43AD"/>
    <w:rsid w:val="00F1000E"/>
    <w:rsid w:val="00F33EB4"/>
    <w:rsid w:val="00F47548"/>
    <w:rsid w:val="00F50CFE"/>
    <w:rsid w:val="00F753B7"/>
    <w:rsid w:val="00F76DCE"/>
    <w:rsid w:val="00F93697"/>
    <w:rsid w:val="00F96172"/>
    <w:rsid w:val="00FB1810"/>
    <w:rsid w:val="00FC085F"/>
    <w:rsid w:val="00FE2AD6"/>
    <w:rsid w:val="00FE5395"/>
    <w:rsid w:val="00FF0615"/>
    <w:rsid w:val="00FF40CB"/>
    <w:rsid w:val="00FF4534"/>
    <w:rsid w:val="00FF4D2F"/>
    <w:rsid w:val="00FF5008"/>
    <w:rsid w:val="00FF7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2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C" w:eastAsia="es-EC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7C3B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next w:val="Normal"/>
    <w:link w:val="Ttulo2Car"/>
    <w:qFormat/>
    <w:rsid w:val="00BC5566"/>
    <w:pPr>
      <w:keepNext/>
      <w:spacing w:after="0" w:line="240" w:lineRule="auto"/>
      <w:jc w:val="center"/>
      <w:outlineLvl w:val="1"/>
    </w:pPr>
    <w:rPr>
      <w:rFonts w:ascii="Tahoma" w:eastAsia="Times New Roman" w:hAnsi="Tahoma"/>
      <w:b/>
      <w:bCs/>
      <w:sz w:val="40"/>
      <w:szCs w:val="24"/>
      <w:lang w:eastAsia="es-ES"/>
    </w:rPr>
  </w:style>
  <w:style w:type="paragraph" w:styleId="Ttulo3">
    <w:name w:val="heading 3"/>
    <w:basedOn w:val="Normal"/>
    <w:next w:val="Normal"/>
    <w:link w:val="Ttulo3Car"/>
    <w:qFormat/>
    <w:rsid w:val="00BC5566"/>
    <w:pPr>
      <w:keepNext/>
      <w:spacing w:after="0" w:line="240" w:lineRule="auto"/>
      <w:outlineLvl w:val="2"/>
    </w:pPr>
    <w:rPr>
      <w:rFonts w:ascii="Tahoma" w:eastAsia="Times New Roman" w:hAnsi="Tahoma"/>
      <w:b/>
      <w:bCs/>
      <w:sz w:val="28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pgrafe">
    <w:name w:val="caption"/>
    <w:basedOn w:val="Normal"/>
    <w:next w:val="Normal"/>
    <w:uiPriority w:val="35"/>
    <w:unhideWhenUsed/>
    <w:qFormat/>
    <w:rsid w:val="00437C3B"/>
    <w:pPr>
      <w:spacing w:line="240" w:lineRule="auto"/>
    </w:pPr>
    <w:rPr>
      <w:b/>
      <w:bCs/>
      <w:color w:val="4F81BD"/>
      <w:sz w:val="18"/>
      <w:szCs w:val="18"/>
    </w:rPr>
  </w:style>
  <w:style w:type="paragraph" w:styleId="Prrafodelista">
    <w:name w:val="List Paragraph"/>
    <w:basedOn w:val="Normal"/>
    <w:uiPriority w:val="34"/>
    <w:qFormat/>
    <w:rsid w:val="00437C3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37C3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37C3B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AE2F3C"/>
    <w:pPr>
      <w:tabs>
        <w:tab w:val="center" w:pos="4419"/>
        <w:tab w:val="right" w:pos="8838"/>
      </w:tabs>
      <w:spacing w:after="0" w:line="240" w:lineRule="auto"/>
    </w:pPr>
    <w:rPr>
      <w:sz w:val="20"/>
      <w:szCs w:val="20"/>
    </w:rPr>
  </w:style>
  <w:style w:type="character" w:customStyle="1" w:styleId="EncabezadoCar">
    <w:name w:val="Encabezado Car"/>
    <w:link w:val="Encabezado"/>
    <w:uiPriority w:val="99"/>
    <w:semiHidden/>
    <w:rsid w:val="00AE2F3C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AE2F3C"/>
    <w:pPr>
      <w:tabs>
        <w:tab w:val="center" w:pos="4419"/>
        <w:tab w:val="right" w:pos="8838"/>
      </w:tabs>
      <w:spacing w:after="0" w:line="240" w:lineRule="auto"/>
    </w:pPr>
    <w:rPr>
      <w:sz w:val="20"/>
      <w:szCs w:val="20"/>
    </w:rPr>
  </w:style>
  <w:style w:type="character" w:customStyle="1" w:styleId="PiedepginaCar">
    <w:name w:val="Pie de página Car"/>
    <w:link w:val="Piedepgina"/>
    <w:uiPriority w:val="99"/>
    <w:rsid w:val="00AE2F3C"/>
    <w:rPr>
      <w:rFonts w:ascii="Calibri" w:eastAsia="Calibri" w:hAnsi="Calibri" w:cs="Times New Roman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C7EC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DC7EC2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semiHidden/>
    <w:unhideWhenUsed/>
    <w:rsid w:val="00DC7EC2"/>
    <w:rPr>
      <w:vertAlign w:val="superscript"/>
    </w:rPr>
  </w:style>
  <w:style w:type="table" w:styleId="Sombreadoclaro-nfasis2">
    <w:name w:val="Light Shading Accent 2"/>
    <w:basedOn w:val="Tablanormal"/>
    <w:uiPriority w:val="60"/>
    <w:rsid w:val="00896E8B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Sombreadoclaro-nfasis11">
    <w:name w:val="Sombreado claro - Énfasis 11"/>
    <w:basedOn w:val="Tablanormal"/>
    <w:uiPriority w:val="60"/>
    <w:rsid w:val="00C672E5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Sombreadoclaro-nfasis12">
    <w:name w:val="Sombreado claro - Énfasis 12"/>
    <w:basedOn w:val="Tablanormal"/>
    <w:uiPriority w:val="60"/>
    <w:rsid w:val="008F6CB5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Ttulo2Car">
    <w:name w:val="Título 2 Car"/>
    <w:basedOn w:val="Fuentedeprrafopredeter"/>
    <w:link w:val="Ttulo2"/>
    <w:rsid w:val="00BC5566"/>
    <w:rPr>
      <w:rFonts w:ascii="Tahoma" w:eastAsia="Times New Roman" w:hAnsi="Tahoma"/>
      <w:b/>
      <w:bCs/>
      <w:sz w:val="40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BC5566"/>
    <w:rPr>
      <w:rFonts w:ascii="Tahoma" w:eastAsia="Times New Roman" w:hAnsi="Tahoma"/>
      <w:b/>
      <w:bCs/>
      <w:sz w:val="28"/>
      <w:szCs w:val="24"/>
      <w:lang w:eastAsia="es-ES"/>
    </w:rPr>
  </w:style>
  <w:style w:type="paragraph" w:styleId="Textoindependiente2">
    <w:name w:val="Body Text 2"/>
    <w:basedOn w:val="Normal"/>
    <w:link w:val="Textoindependiente2Car"/>
    <w:rsid w:val="00BC5566"/>
    <w:pPr>
      <w:spacing w:after="0" w:line="240" w:lineRule="auto"/>
      <w:jc w:val="both"/>
    </w:pPr>
    <w:rPr>
      <w:rFonts w:ascii="Tahoma" w:eastAsia="Times New Roman" w:hAnsi="Tahoma"/>
      <w:sz w:val="24"/>
      <w:szCs w:val="24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BC5566"/>
    <w:rPr>
      <w:rFonts w:ascii="Tahoma" w:eastAsia="Times New Roman" w:hAnsi="Tahoma"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4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F39D66-C2B5-477A-8779-F581CD08D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1</Pages>
  <Words>334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mquisintuña</dc:creator>
  <cp:lastModifiedBy>rmacas</cp:lastModifiedBy>
  <cp:revision>24</cp:revision>
  <dcterms:created xsi:type="dcterms:W3CDTF">2013-04-12T19:12:00Z</dcterms:created>
  <dcterms:modified xsi:type="dcterms:W3CDTF">2014-02-14T15:59:00Z</dcterms:modified>
</cp:coreProperties>
</file>