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222EB140" w:rsidR="00440C1B" w:rsidRDefault="00CA1A53" w:rsidP="0088681D">
      <w:pPr>
        <w:spacing w:line="312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41AFD6A7" w:rsidR="00112895" w:rsidRPr="00267DE0" w:rsidRDefault="008A1CD5" w:rsidP="0088681D">
      <w:pPr>
        <w:spacing w:line="312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B25BE3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Octu</w:t>
      </w:r>
      <w:r w:rsidR="00B25BE3">
        <w:rPr>
          <w:rFonts w:ascii="Century Gothic" w:eastAsia="Century Gothic" w:hAnsi="Century Gothic" w:cs="Calibri"/>
          <w:b/>
          <w:color w:val="EE9F00"/>
          <w:lang w:eastAsia="es-ES" w:bidi="es-ES"/>
        </w:rPr>
        <w:t>bre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88681D">
      <w:pPr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371C7D12" w14:textId="2A6AB90A" w:rsidR="00B25BE3" w:rsidRDefault="004C437D" w:rsidP="007F3DD7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B06EB" w:rsidRPr="00BB06EB">
        <w:t xml:space="preserve"> </w:t>
      </w:r>
      <w:r w:rsidR="00584311" w:rsidRPr="00584311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84311" w:rsidRPr="00584311">
        <w:rPr>
          <w:rFonts w:ascii="Century Gothic" w:hAnsi="Century Gothic" w:cs="Calibri"/>
          <w:sz w:val="20"/>
          <w:szCs w:val="20"/>
          <w:lang w:val="es-ES_tradnl"/>
        </w:rPr>
        <w:t>16,72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CB6030" w:rsidRPr="00CB6030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B6030" w:rsidRPr="00CB6030">
        <w:rPr>
          <w:rFonts w:ascii="Century Gothic" w:hAnsi="Century Gothic" w:cs="Calibri"/>
          <w:sz w:val="20"/>
          <w:szCs w:val="20"/>
          <w:lang w:val="es-ES_tradnl"/>
        </w:rPr>
        <w:t>10,87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CB6030" w:rsidRPr="00CB6030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7F3DD7">
        <w:t xml:space="preserve"> 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B6030" w:rsidRPr="00CB6030">
        <w:rPr>
          <w:rFonts w:ascii="Century Gothic" w:hAnsi="Century Gothic" w:cs="Calibri"/>
          <w:sz w:val="20"/>
          <w:szCs w:val="20"/>
          <w:lang w:val="es-ES_tradnl"/>
        </w:rPr>
        <w:t>3,51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56382707" w14:textId="350D9A84" w:rsidR="007F3DD7" w:rsidRPr="007F3DD7" w:rsidRDefault="00F34010" w:rsidP="007F3DD7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0" w:name="_Hlk39421734"/>
      <w:bookmarkStart w:id="1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F3DD7" w:rsidRPr="007F3DD7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150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15004" w:rsidRPr="00D15004">
        <w:rPr>
          <w:rFonts w:ascii="Century Gothic" w:hAnsi="Century Gothic" w:cs="Calibri"/>
          <w:sz w:val="20"/>
          <w:szCs w:val="20"/>
          <w:lang w:val="es-ES_tradnl"/>
        </w:rPr>
        <w:t>-14,69</w:t>
      </w:r>
      <w:r w:rsidR="007A0A2A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3531F5" w:rsidRPr="003531F5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3531F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531F5" w:rsidRPr="003531F5">
        <w:rPr>
          <w:rFonts w:ascii="Century Gothic" w:hAnsi="Century Gothic" w:cs="Calibri"/>
          <w:sz w:val="20"/>
          <w:szCs w:val="20"/>
          <w:lang w:val="es-ES_tradnl"/>
        </w:rPr>
        <w:t>-2,38</w:t>
      </w:r>
      <w:r w:rsidR="007A0A2A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860988" w:rsidRPr="00860988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7A0A2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6098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60988" w:rsidRPr="00860988">
        <w:rPr>
          <w:rFonts w:ascii="Century Gothic" w:hAnsi="Century Gothic" w:cs="Calibri"/>
          <w:sz w:val="20"/>
          <w:szCs w:val="20"/>
          <w:lang w:val="es-ES_tradnl"/>
        </w:rPr>
        <w:t>-1,79</w:t>
      </w:r>
      <w:r w:rsidR="007A0A2A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bookmarkEnd w:id="1"/>
    <w:p w14:paraId="0699B2D6" w14:textId="5ABBA1B7" w:rsidR="000B2014" w:rsidRDefault="00FC5E40" w:rsidP="0088681D">
      <w:pPr>
        <w:spacing w:before="240"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474F7C3F" w14:textId="402CB513" w:rsidR="0059067D" w:rsidRDefault="005125C4" w:rsidP="00AE158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125C4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(16,72%)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59067D"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cremento de precios </w:t>
      </w:r>
      <w:r w:rsidR="001326B7">
        <w:rPr>
          <w:rFonts w:ascii="Century Gothic" w:hAnsi="Century Gothic" w:cs="Calibri"/>
          <w:sz w:val="20"/>
          <w:szCs w:val="20"/>
          <w:lang w:val="es-ES_tradnl"/>
        </w:rPr>
        <w:t>en casi todas</w:t>
      </w:r>
      <w:r w:rsidR="0059067D" w:rsidRPr="0006533B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>iudades</w:t>
      </w:r>
      <w:r w:rsidR="001326B7">
        <w:rPr>
          <w:rFonts w:ascii="Century Gothic" w:hAnsi="Century Gothic" w:cs="Calibri"/>
          <w:sz w:val="20"/>
          <w:szCs w:val="20"/>
          <w:lang w:val="es-ES_tradnl"/>
        </w:rPr>
        <w:t xml:space="preserve"> investigadas: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326B7">
        <w:rPr>
          <w:rFonts w:ascii="Century Gothic" w:hAnsi="Century Gothic" w:cs="Calibri"/>
          <w:sz w:val="20"/>
          <w:szCs w:val="20"/>
          <w:lang w:val="es-ES_tradnl"/>
        </w:rPr>
        <w:t>Santo Domingo (</w:t>
      </w:r>
      <w:r w:rsidR="001326B7" w:rsidRPr="001326B7">
        <w:rPr>
          <w:rFonts w:ascii="Century Gothic" w:hAnsi="Century Gothic" w:cs="Calibri"/>
          <w:sz w:val="20"/>
          <w:szCs w:val="20"/>
          <w:lang w:val="es-ES_tradnl"/>
        </w:rPr>
        <w:t>30,84</w:t>
      </w:r>
      <w:r w:rsidR="001326B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5254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326B7"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="001326B7" w:rsidRPr="001326B7">
        <w:rPr>
          <w:rFonts w:ascii="Century Gothic" w:hAnsi="Century Gothic" w:cs="Calibri"/>
          <w:sz w:val="20"/>
          <w:szCs w:val="20"/>
          <w:lang w:val="es-ES_tradnl"/>
        </w:rPr>
        <w:t>27,79</w:t>
      </w:r>
      <w:r w:rsidR="001326B7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1326B7" w:rsidRPr="001326B7">
        <w:rPr>
          <w:rFonts w:ascii="Century Gothic" w:hAnsi="Century Gothic" w:cs="Calibri"/>
          <w:sz w:val="20"/>
          <w:szCs w:val="20"/>
          <w:lang w:val="es-ES_tradnl"/>
        </w:rPr>
        <w:t>27,72</w:t>
      </w:r>
      <w:r w:rsidR="00AF49F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31E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F49F0">
        <w:rPr>
          <w:rFonts w:ascii="Century Gothic" w:hAnsi="Century Gothic" w:cs="Calibri"/>
          <w:sz w:val="20"/>
          <w:szCs w:val="20"/>
          <w:lang w:val="es-ES_tradnl"/>
        </w:rPr>
        <w:t xml:space="preserve"> Guayaquil</w:t>
      </w:r>
      <w:r w:rsidR="001326B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F49F0" w:rsidRPr="00AF49F0">
        <w:rPr>
          <w:rFonts w:ascii="Century Gothic" w:hAnsi="Century Gothic" w:cs="Calibri"/>
          <w:sz w:val="20"/>
          <w:szCs w:val="20"/>
          <w:lang w:val="es-ES_tradnl"/>
        </w:rPr>
        <w:t>17,36</w:t>
      </w:r>
      <w:r w:rsidR="001326B7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AF49F0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F49F0" w:rsidRPr="00AF49F0">
        <w:rPr>
          <w:rFonts w:ascii="Century Gothic" w:hAnsi="Century Gothic" w:cs="Calibri"/>
          <w:sz w:val="20"/>
          <w:szCs w:val="20"/>
          <w:lang w:val="es-ES_tradnl"/>
        </w:rPr>
        <w:t>16,96</w:t>
      </w:r>
      <w:r w:rsidR="00452544">
        <w:rPr>
          <w:rFonts w:ascii="Century Gothic" w:hAnsi="Century Gothic" w:cs="Calibri"/>
          <w:sz w:val="20"/>
          <w:szCs w:val="20"/>
          <w:lang w:val="es-ES_tradnl"/>
        </w:rPr>
        <w:t>%),</w:t>
      </w:r>
      <w:r w:rsidR="001A7EEE">
        <w:rPr>
          <w:rFonts w:ascii="Century Gothic" w:hAnsi="Century Gothic" w:cs="Calibri"/>
          <w:sz w:val="20"/>
          <w:szCs w:val="20"/>
          <w:lang w:val="es-ES_tradnl"/>
        </w:rPr>
        <w:t xml:space="preserve"> Machala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A7EEE" w:rsidRPr="001A7EEE">
        <w:rPr>
          <w:rFonts w:ascii="Century Gothic" w:hAnsi="Century Gothic" w:cs="Calibri"/>
          <w:sz w:val="20"/>
          <w:szCs w:val="20"/>
          <w:lang w:val="es-ES_tradnl"/>
        </w:rPr>
        <w:t>14,29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1A7EEE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A7EEE" w:rsidRPr="001A7EEE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276D4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276D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D87373">
        <w:rPr>
          <w:rFonts w:ascii="Century Gothic" w:hAnsi="Century Gothic" w:cs="Calibri"/>
          <w:sz w:val="20"/>
          <w:szCs w:val="20"/>
          <w:lang w:val="es-ES_tradnl"/>
        </w:rPr>
        <w:t xml:space="preserve">o </w:t>
      </w:r>
      <w:r w:rsidR="008428AD">
        <w:rPr>
          <w:rFonts w:ascii="Century Gothic" w:hAnsi="Century Gothic" w:cs="Calibri"/>
          <w:sz w:val="20"/>
          <w:szCs w:val="20"/>
          <w:lang w:val="es-ES_tradnl"/>
        </w:rPr>
        <w:t xml:space="preserve">se </w:t>
      </w:r>
      <w:r w:rsidR="00D87373">
        <w:rPr>
          <w:rFonts w:ascii="Century Gothic" w:hAnsi="Century Gothic" w:cs="Calibri"/>
          <w:sz w:val="20"/>
          <w:szCs w:val="20"/>
          <w:lang w:val="es-ES_tradnl"/>
        </w:rPr>
        <w:t>presenta variación de precios</w:t>
      </w:r>
      <w:r w:rsidR="001326B7">
        <w:rPr>
          <w:rFonts w:ascii="Century Gothic" w:hAnsi="Century Gothic" w:cs="Calibri"/>
          <w:sz w:val="20"/>
          <w:szCs w:val="20"/>
          <w:lang w:val="es-ES_tradnl"/>
        </w:rPr>
        <w:t xml:space="preserve"> en las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1326B7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1326B7">
        <w:rPr>
          <w:rFonts w:ascii="Century Gothic" w:hAnsi="Century Gothic" w:cs="Calibri"/>
          <w:sz w:val="20"/>
          <w:szCs w:val="20"/>
          <w:lang w:val="es-ES_tradnl"/>
        </w:rPr>
        <w:t>Loja y Ambato</w:t>
      </w:r>
      <w:r w:rsidR="00D87373">
        <w:rPr>
          <w:rFonts w:ascii="Century Gothic" w:hAnsi="Century Gothic" w:cs="Calibri"/>
          <w:sz w:val="20"/>
          <w:szCs w:val="20"/>
          <w:lang w:val="es-ES_tradnl"/>
        </w:rPr>
        <w:t>.</w:t>
      </w:r>
    </w:p>
    <w:p w14:paraId="7324949E" w14:textId="0E86DEF6" w:rsidR="0059067D" w:rsidRDefault="00D14924" w:rsidP="0059067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14924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(10,87%)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59067D" w:rsidRPr="00D83A6A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D5E5E">
        <w:rPr>
          <w:rFonts w:ascii="Century Gothic" w:hAnsi="Century Gothic" w:cs="Calibri"/>
          <w:sz w:val="20"/>
          <w:szCs w:val="20"/>
          <w:lang w:val="es-ES_tradnl"/>
        </w:rPr>
        <w:t>incremento</w:t>
      </w:r>
      <w:r w:rsidR="0059067D" w:rsidRPr="00D83A6A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59067D" w:rsidRPr="00D83A6A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0D5E5E">
        <w:rPr>
          <w:rFonts w:ascii="Century Gothic" w:hAnsi="Century Gothic" w:cs="Calibri"/>
          <w:sz w:val="20"/>
          <w:szCs w:val="20"/>
          <w:lang w:val="es-ES_tradnl"/>
        </w:rPr>
        <w:t xml:space="preserve"> mayoría de las</w:t>
      </w:r>
      <w:r w:rsidR="0059067D" w:rsidRPr="00D83A6A">
        <w:rPr>
          <w:rFonts w:ascii="Century Gothic" w:hAnsi="Century Gothic" w:cs="Calibri"/>
          <w:sz w:val="20"/>
          <w:szCs w:val="20"/>
          <w:lang w:val="es-ES_tradnl"/>
        </w:rPr>
        <w:t xml:space="preserve"> ciudades</w:t>
      </w:r>
      <w:r w:rsidR="000D5E5E">
        <w:rPr>
          <w:rFonts w:ascii="Century Gothic" w:hAnsi="Century Gothic" w:cs="Calibri"/>
          <w:sz w:val="20"/>
          <w:szCs w:val="20"/>
          <w:lang w:val="es-ES_tradnl"/>
        </w:rPr>
        <w:t xml:space="preserve"> investigadas:</w:t>
      </w:r>
      <w:r w:rsidR="0059067D" w:rsidRPr="00D83A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385A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E385A" w:rsidRPr="00CE385A">
        <w:rPr>
          <w:rFonts w:ascii="Century Gothic" w:hAnsi="Century Gothic" w:cs="Calibri"/>
          <w:sz w:val="20"/>
          <w:szCs w:val="20"/>
          <w:lang w:val="es-ES_tradnl"/>
        </w:rPr>
        <w:t>31,04</w:t>
      </w:r>
      <w:r w:rsidR="00CE385A">
        <w:rPr>
          <w:rFonts w:ascii="Century Gothic" w:hAnsi="Century Gothic" w:cs="Calibri"/>
          <w:sz w:val="20"/>
          <w:szCs w:val="20"/>
          <w:lang w:val="es-ES_tradnl"/>
        </w:rPr>
        <w:t>%), Ambato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E385A" w:rsidRPr="00CE385A">
        <w:rPr>
          <w:rFonts w:ascii="Century Gothic" w:hAnsi="Century Gothic" w:cs="Calibri"/>
          <w:sz w:val="20"/>
          <w:szCs w:val="20"/>
          <w:lang w:val="es-ES_tradnl"/>
        </w:rPr>
        <w:t>25,99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52544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CE385A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45254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E385A" w:rsidRPr="00CE385A">
        <w:rPr>
          <w:rFonts w:ascii="Century Gothic" w:hAnsi="Century Gothic" w:cs="Calibri"/>
          <w:sz w:val="20"/>
          <w:szCs w:val="20"/>
          <w:lang w:val="es-ES_tradnl"/>
        </w:rPr>
        <w:t>11,87</w:t>
      </w:r>
      <w:r w:rsidR="00CE385A">
        <w:rPr>
          <w:rFonts w:ascii="Century Gothic" w:hAnsi="Century Gothic" w:cs="Calibri"/>
          <w:sz w:val="20"/>
          <w:szCs w:val="20"/>
          <w:lang w:val="es-ES_tradnl"/>
        </w:rPr>
        <w:t>%), Quito</w:t>
      </w:r>
      <w:r w:rsidR="0045254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E385A" w:rsidRPr="00CE385A">
        <w:rPr>
          <w:rFonts w:ascii="Century Gothic" w:hAnsi="Century Gothic" w:cs="Calibri"/>
          <w:sz w:val="20"/>
          <w:szCs w:val="20"/>
          <w:lang w:val="es-ES_tradnl"/>
        </w:rPr>
        <w:t>8,78</w:t>
      </w:r>
      <w:r w:rsidR="00452544">
        <w:rPr>
          <w:rFonts w:ascii="Century Gothic" w:hAnsi="Century Gothic" w:cs="Calibri"/>
          <w:sz w:val="20"/>
          <w:szCs w:val="20"/>
          <w:lang w:val="es-ES_tradnl"/>
        </w:rPr>
        <w:t>%),</w:t>
      </w:r>
      <w:r w:rsidR="005A2C28" w:rsidRPr="005A2C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9547F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5A2C2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9547F" w:rsidRPr="00B9547F">
        <w:rPr>
          <w:rFonts w:ascii="Century Gothic" w:hAnsi="Century Gothic" w:cs="Calibri"/>
          <w:sz w:val="20"/>
          <w:szCs w:val="20"/>
          <w:lang w:val="es-ES_tradnl"/>
        </w:rPr>
        <w:t>5,77</w:t>
      </w:r>
      <w:r w:rsidR="005A2C28">
        <w:rPr>
          <w:rFonts w:ascii="Century Gothic" w:hAnsi="Century Gothic" w:cs="Calibri"/>
          <w:sz w:val="20"/>
          <w:szCs w:val="20"/>
          <w:lang w:val="es-ES_tradnl"/>
        </w:rPr>
        <w:t xml:space="preserve">%) 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B9547F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9547F" w:rsidRPr="00B9547F">
        <w:rPr>
          <w:rFonts w:ascii="Century Gothic" w:hAnsi="Century Gothic" w:cs="Calibri"/>
          <w:sz w:val="20"/>
          <w:szCs w:val="20"/>
          <w:lang w:val="es-ES_tradnl"/>
        </w:rPr>
        <w:t>5,27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DB776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8428AD">
        <w:rPr>
          <w:rFonts w:ascii="Century Gothic" w:hAnsi="Century Gothic" w:cs="Calibri"/>
          <w:sz w:val="20"/>
          <w:szCs w:val="20"/>
          <w:lang w:val="es-ES_tradnl"/>
        </w:rPr>
        <w:t xml:space="preserve"> de Machala, Loja y Cuenca 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>no presentan variación de precios.</w:t>
      </w:r>
    </w:p>
    <w:p w14:paraId="38CE5804" w14:textId="4C01DEC8" w:rsidR="0059067D" w:rsidRDefault="00D14924" w:rsidP="00DC5A1E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D14924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(3,51%)</w:t>
      </w:r>
      <w:r w:rsidR="0059067D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C5A1E" w:rsidRPr="0006533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7946">
        <w:rPr>
          <w:rFonts w:ascii="Century Gothic" w:hAnsi="Century Gothic" w:cs="Calibri"/>
          <w:sz w:val="20"/>
          <w:szCs w:val="20"/>
          <w:lang w:val="es-ES_tradnl"/>
        </w:rPr>
        <w:t>variación positiva de precios</w:t>
      </w:r>
      <w:r w:rsidR="00CC27AC">
        <w:rPr>
          <w:rFonts w:ascii="Century Gothic" w:hAnsi="Century Gothic" w:cs="Calibri"/>
          <w:sz w:val="20"/>
          <w:szCs w:val="20"/>
          <w:lang w:val="es-ES_tradnl"/>
        </w:rPr>
        <w:t xml:space="preserve"> en algunas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DC5A1E" w:rsidRPr="0006533B">
        <w:rPr>
          <w:rFonts w:ascii="Century Gothic" w:hAnsi="Century Gothic" w:cs="Calibri"/>
          <w:sz w:val="20"/>
          <w:szCs w:val="20"/>
          <w:lang w:val="es-ES_tradnl"/>
        </w:rPr>
        <w:t>las c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425FBC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2C3CBC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C3CBC" w:rsidRPr="002C3CBC">
        <w:rPr>
          <w:rFonts w:ascii="Century Gothic" w:hAnsi="Century Gothic" w:cs="Calibri"/>
          <w:sz w:val="20"/>
          <w:szCs w:val="20"/>
          <w:lang w:val="es-ES_tradnl"/>
        </w:rPr>
        <w:t>6,46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2C3CBC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C3CBC" w:rsidRPr="002C3CBC">
        <w:rPr>
          <w:rFonts w:ascii="Century Gothic" w:hAnsi="Century Gothic" w:cs="Calibri"/>
          <w:sz w:val="20"/>
          <w:szCs w:val="20"/>
          <w:lang w:val="es-ES_tradnl"/>
        </w:rPr>
        <w:t>6,25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25FBC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2C3CBC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425FBC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C3CBC" w:rsidRPr="002C3CBC">
        <w:rPr>
          <w:rFonts w:ascii="Century Gothic" w:hAnsi="Century Gothic" w:cs="Calibri"/>
          <w:sz w:val="20"/>
          <w:szCs w:val="20"/>
          <w:lang w:val="es-ES_tradnl"/>
        </w:rPr>
        <w:t>4,65</w:t>
      </w:r>
      <w:r w:rsidR="00425FBC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A61B45" w:rsidRPr="00A61B45">
        <w:rPr>
          <w:rFonts w:ascii="Century Gothic" w:hAnsi="Century Gothic" w:cs="Calibri"/>
          <w:sz w:val="20"/>
          <w:szCs w:val="20"/>
          <w:lang w:val="es-ES_tradnl"/>
        </w:rPr>
        <w:t>4,47</w:t>
      </w:r>
      <w:r w:rsidR="00425FBC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DB6513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425FBC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B6513" w:rsidRPr="00DB6513">
        <w:rPr>
          <w:rFonts w:ascii="Century Gothic" w:hAnsi="Century Gothic" w:cs="Calibri"/>
          <w:sz w:val="20"/>
          <w:szCs w:val="20"/>
          <w:lang w:val="es-ES_tradnl"/>
        </w:rPr>
        <w:t>2,61</w:t>
      </w:r>
      <w:r w:rsidR="00425FB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45737">
        <w:rPr>
          <w:rFonts w:ascii="Century Gothic" w:hAnsi="Century Gothic" w:cs="Calibri"/>
          <w:sz w:val="20"/>
          <w:szCs w:val="20"/>
          <w:lang w:val="es-ES_tradnl"/>
        </w:rPr>
        <w:t xml:space="preserve"> y Machala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B4E78" w:rsidRPr="00CB4E78">
        <w:rPr>
          <w:rFonts w:ascii="Century Gothic" w:hAnsi="Century Gothic" w:cs="Calibri"/>
          <w:sz w:val="20"/>
          <w:szCs w:val="20"/>
          <w:lang w:val="es-ES_tradnl"/>
        </w:rPr>
        <w:t>2,04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8B118B">
        <w:rPr>
          <w:rFonts w:ascii="Century Gothic" w:hAnsi="Century Gothic" w:cs="Calibri"/>
          <w:sz w:val="20"/>
          <w:szCs w:val="20"/>
          <w:lang w:val="es-ES_tradnl"/>
        </w:rPr>
        <w:t>Mientras que presenta</w:t>
      </w:r>
      <w:r w:rsidR="00013307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8B118B">
        <w:rPr>
          <w:rFonts w:ascii="Century Gothic" w:hAnsi="Century Gothic" w:cs="Calibri"/>
          <w:sz w:val="20"/>
          <w:szCs w:val="20"/>
          <w:lang w:val="es-ES_tradnl"/>
        </w:rPr>
        <w:t xml:space="preserve"> variación negativa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 en las ciudades de </w:t>
      </w:r>
      <w:r w:rsidR="008B118B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118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B118B" w:rsidRPr="008B118B">
        <w:rPr>
          <w:rFonts w:ascii="Century Gothic" w:hAnsi="Century Gothic" w:cs="Calibri"/>
          <w:sz w:val="20"/>
          <w:szCs w:val="20"/>
          <w:lang w:val="es-ES_tradnl"/>
        </w:rPr>
        <w:t>-7,22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8B118B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118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B118B" w:rsidRPr="008B118B">
        <w:rPr>
          <w:rFonts w:ascii="Century Gothic" w:hAnsi="Century Gothic" w:cs="Calibri"/>
          <w:sz w:val="20"/>
          <w:szCs w:val="20"/>
          <w:lang w:val="es-ES_tradnl"/>
        </w:rPr>
        <w:t>-4,76</w:t>
      </w:r>
      <w:r w:rsidR="00AE28FC">
        <w:rPr>
          <w:rFonts w:ascii="Century Gothic" w:hAnsi="Century Gothic" w:cs="Calibri"/>
          <w:sz w:val="20"/>
          <w:szCs w:val="20"/>
          <w:lang w:val="es-ES_tradnl"/>
        </w:rPr>
        <w:t xml:space="preserve">%) 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8B118B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118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B118B" w:rsidRPr="008B118B">
        <w:rPr>
          <w:rFonts w:ascii="Century Gothic" w:hAnsi="Century Gothic" w:cs="Calibri"/>
          <w:sz w:val="20"/>
          <w:szCs w:val="20"/>
          <w:lang w:val="es-ES_tradnl"/>
        </w:rPr>
        <w:t>-1,30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B118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14:paraId="7CD9E736" w14:textId="2CF64597" w:rsidR="00820C9A" w:rsidRDefault="00820C9A" w:rsidP="0088681D">
      <w:pPr>
        <w:spacing w:before="240"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por ciudades con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r variación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negativa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fueron:</w:t>
      </w:r>
    </w:p>
    <w:p w14:paraId="6F898C6B" w14:textId="121D09A9" w:rsidR="00AE158D" w:rsidRDefault="00D14924" w:rsidP="009E7E32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14924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(-14,69%)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E7A18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282">
        <w:rPr>
          <w:rFonts w:ascii="Century Gothic" w:hAnsi="Century Gothic" w:cs="Calibri"/>
          <w:sz w:val="20"/>
          <w:szCs w:val="20"/>
          <w:lang w:val="es-ES_tradnl"/>
        </w:rPr>
        <w:t>disminución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2E7A18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92282">
        <w:rPr>
          <w:rFonts w:ascii="Century Gothic" w:hAnsi="Century Gothic" w:cs="Calibri"/>
          <w:sz w:val="20"/>
          <w:szCs w:val="20"/>
          <w:lang w:val="es-ES_tradnl"/>
        </w:rPr>
        <w:t xml:space="preserve">casi todas las 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 ciudades</w:t>
      </w:r>
      <w:r w:rsidR="001416B5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9E7E32">
        <w:rPr>
          <w:rFonts w:ascii="Century Gothic" w:hAnsi="Century Gothic" w:cs="Calibri"/>
          <w:sz w:val="20"/>
          <w:szCs w:val="20"/>
          <w:lang w:val="es-ES_tradnl"/>
        </w:rPr>
        <w:t>: Machala</w:t>
      </w:r>
      <w:r w:rsidR="001416B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4CF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E4CFF" w:rsidRPr="00BE4CFF">
        <w:rPr>
          <w:rFonts w:ascii="Century Gothic" w:hAnsi="Century Gothic" w:cs="Calibri"/>
          <w:sz w:val="20"/>
          <w:szCs w:val="20"/>
          <w:lang w:val="es-ES_tradnl"/>
        </w:rPr>
        <w:t>-34,58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>%),</w:t>
      </w:r>
      <w:r w:rsidR="009E7E3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7E32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9E7E3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7E3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E7E32" w:rsidRPr="00BE4CFF">
        <w:rPr>
          <w:rFonts w:ascii="Century Gothic" w:hAnsi="Century Gothic" w:cs="Calibri"/>
          <w:sz w:val="20"/>
          <w:szCs w:val="20"/>
          <w:lang w:val="es-ES_tradnl"/>
        </w:rPr>
        <w:t>-34,58</w:t>
      </w:r>
      <w:r w:rsidR="009E7E32">
        <w:rPr>
          <w:rFonts w:ascii="Century Gothic" w:hAnsi="Century Gothic" w:cs="Calibri"/>
          <w:sz w:val="20"/>
          <w:szCs w:val="20"/>
          <w:lang w:val="es-ES_tradnl"/>
        </w:rPr>
        <w:t>%),</w:t>
      </w:r>
      <w:r w:rsidR="001416B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F1C68">
        <w:rPr>
          <w:rFonts w:ascii="Century Gothic" w:hAnsi="Century Gothic" w:cs="Calibri"/>
          <w:sz w:val="20"/>
          <w:szCs w:val="20"/>
          <w:lang w:val="es-ES_tradnl"/>
        </w:rPr>
        <w:t xml:space="preserve">Santo </w:t>
      </w:r>
      <w:r w:rsidR="001416B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F1C68">
        <w:rPr>
          <w:rFonts w:ascii="Century Gothic" w:hAnsi="Century Gothic" w:cs="Calibri"/>
          <w:sz w:val="20"/>
          <w:szCs w:val="20"/>
          <w:lang w:val="es-ES_tradnl"/>
        </w:rPr>
        <w:t>Domingo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7E32">
        <w:rPr>
          <w:rFonts w:ascii="Century Gothic" w:hAnsi="Century Gothic" w:cs="Calibri"/>
          <w:sz w:val="20"/>
          <w:szCs w:val="20"/>
          <w:lang w:val="es-ES_tradnl"/>
        </w:rPr>
        <w:t xml:space="preserve">           </w:t>
      </w:r>
      <w:r w:rsidR="003475A6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F1C68" w:rsidRPr="007F1C68">
        <w:rPr>
          <w:rFonts w:ascii="Century Gothic" w:hAnsi="Century Gothic" w:cs="Calibri"/>
          <w:sz w:val="20"/>
          <w:szCs w:val="20"/>
          <w:lang w:val="es-ES_tradnl"/>
        </w:rPr>
        <w:t>-33,02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75FB5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E73ADE" w:rsidRPr="00E73ADE">
        <w:rPr>
          <w:rFonts w:ascii="Century Gothic" w:hAnsi="Century Gothic" w:cs="Calibri"/>
          <w:sz w:val="20"/>
          <w:szCs w:val="20"/>
          <w:lang w:val="es-ES_tradnl"/>
        </w:rPr>
        <w:t>Loja (-27,51%)</w:t>
      </w:r>
      <w:r w:rsidR="00620C94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7F1C68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69228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F1C6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F1C68" w:rsidRPr="007F1C68">
        <w:rPr>
          <w:rFonts w:ascii="Century Gothic" w:hAnsi="Century Gothic" w:cs="Calibri"/>
          <w:sz w:val="20"/>
          <w:szCs w:val="20"/>
          <w:lang w:val="es-ES_tradnl"/>
        </w:rPr>
        <w:t>-25,31</w:t>
      </w:r>
      <w:r w:rsidR="00073F7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42979">
        <w:rPr>
          <w:rFonts w:ascii="Century Gothic" w:hAnsi="Century Gothic" w:cs="Calibri"/>
          <w:sz w:val="20"/>
          <w:szCs w:val="20"/>
          <w:lang w:val="es-ES_tradnl"/>
        </w:rPr>
        <w:t>, Cuenca (</w:t>
      </w:r>
      <w:r w:rsidR="00842979" w:rsidRPr="00842979">
        <w:rPr>
          <w:rFonts w:ascii="Century Gothic" w:hAnsi="Century Gothic" w:cs="Calibri"/>
          <w:sz w:val="20"/>
          <w:szCs w:val="20"/>
          <w:lang w:val="es-ES_tradnl"/>
        </w:rPr>
        <w:t>-22,64</w:t>
      </w:r>
      <w:r w:rsidR="0084297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D7C7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7F1C68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69228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F1C6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F1C68" w:rsidRPr="007F1C68">
        <w:rPr>
          <w:rFonts w:ascii="Century Gothic" w:hAnsi="Century Gothic" w:cs="Calibri"/>
          <w:sz w:val="20"/>
          <w:szCs w:val="20"/>
          <w:lang w:val="es-ES_tradnl"/>
        </w:rPr>
        <w:t>-9,60</w:t>
      </w:r>
      <w:r w:rsidR="0069228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D7C72">
        <w:rPr>
          <w:rFonts w:ascii="Century Gothic" w:hAnsi="Century Gothic" w:cs="Calibri"/>
          <w:sz w:val="20"/>
          <w:szCs w:val="20"/>
          <w:lang w:val="es-ES_tradnl"/>
        </w:rPr>
        <w:t xml:space="preserve"> y Quito (</w:t>
      </w:r>
      <w:r w:rsidR="00AD7C72" w:rsidRPr="00AD7C72">
        <w:rPr>
          <w:rFonts w:ascii="Century Gothic" w:hAnsi="Century Gothic" w:cs="Calibri"/>
          <w:sz w:val="20"/>
          <w:szCs w:val="20"/>
          <w:lang w:val="es-ES_tradnl"/>
        </w:rPr>
        <w:t>-6,94</w:t>
      </w:r>
      <w:r w:rsidR="00AD7C7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73F7A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La ciudad de </w:t>
      </w:r>
      <w:r w:rsidR="00073F7A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 no presenta variación de precios.</w:t>
      </w:r>
      <w:bookmarkStart w:id="2" w:name="_GoBack"/>
      <w:bookmarkEnd w:id="2"/>
    </w:p>
    <w:p w14:paraId="6D4551D4" w14:textId="094273BA" w:rsidR="00AE158D" w:rsidRPr="00AE158D" w:rsidRDefault="00E27F9B" w:rsidP="00AE158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27F9B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(-2,38%)</w:t>
      </w:r>
      <w:r w:rsidR="00AE158D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E158D" w:rsidRPr="00AE158D">
        <w:t xml:space="preserve"> </w:t>
      </w:r>
      <w:r w:rsidR="00AE158D" w:rsidRPr="00AE158D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5A5FD2">
        <w:rPr>
          <w:rFonts w:ascii="Century Gothic" w:hAnsi="Century Gothic" w:cs="Calibri"/>
          <w:sz w:val="20"/>
          <w:szCs w:val="20"/>
          <w:lang w:val="es-ES_tradnl"/>
        </w:rPr>
        <w:t>las ciudades de Quito</w:t>
      </w:r>
      <w:r w:rsidR="00AE158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A5FD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A5FD2" w:rsidRPr="005A5FD2">
        <w:rPr>
          <w:rFonts w:ascii="Century Gothic" w:hAnsi="Century Gothic" w:cs="Calibri"/>
          <w:sz w:val="20"/>
          <w:szCs w:val="20"/>
          <w:lang w:val="es-ES_tradnl"/>
        </w:rPr>
        <w:t>-9,98</w:t>
      </w:r>
      <w:r w:rsidR="005A5FD2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5A5FD2" w:rsidRPr="005A5FD2">
        <w:rPr>
          <w:rFonts w:ascii="Century Gothic" w:hAnsi="Century Gothic" w:cs="Calibri"/>
          <w:sz w:val="20"/>
          <w:szCs w:val="20"/>
          <w:lang w:val="es-ES_tradnl"/>
        </w:rPr>
        <w:t>-2,27</w:t>
      </w:r>
      <w:r w:rsidR="00AE158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D3394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EC0B89">
        <w:rPr>
          <w:rFonts w:ascii="Century Gothic" w:hAnsi="Century Gothic" w:cs="Calibri"/>
          <w:sz w:val="20"/>
          <w:szCs w:val="20"/>
          <w:lang w:val="es-ES_tradnl"/>
        </w:rPr>
        <w:t xml:space="preserve"> caso contrario sucede</w:t>
      </w:r>
      <w:r w:rsidR="000D3394">
        <w:rPr>
          <w:rFonts w:ascii="Century Gothic" w:hAnsi="Century Gothic" w:cs="Calibri"/>
          <w:sz w:val="20"/>
          <w:szCs w:val="20"/>
          <w:lang w:val="es-ES_tradnl"/>
        </w:rPr>
        <w:t xml:space="preserve"> en la ciudad de Esmeraldas (</w:t>
      </w:r>
      <w:r w:rsidR="000D3394" w:rsidRPr="000D3394">
        <w:rPr>
          <w:rFonts w:ascii="Century Gothic" w:hAnsi="Century Gothic" w:cs="Calibri"/>
          <w:sz w:val="20"/>
          <w:szCs w:val="20"/>
          <w:lang w:val="es-ES_tradnl"/>
        </w:rPr>
        <w:t>2,14</w:t>
      </w:r>
      <w:r w:rsidR="005E61C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C0B89">
        <w:rPr>
          <w:rFonts w:ascii="Century Gothic" w:hAnsi="Century Gothic" w:cs="Calibri"/>
          <w:sz w:val="20"/>
          <w:szCs w:val="20"/>
          <w:lang w:val="es-ES_tradnl"/>
        </w:rPr>
        <w:t>, la cual presenta variación positiva</w:t>
      </w:r>
      <w:r w:rsidR="006056E1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5E61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056E1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5E61C2">
        <w:rPr>
          <w:rFonts w:ascii="Century Gothic" w:hAnsi="Century Gothic" w:cs="Calibri"/>
          <w:sz w:val="20"/>
          <w:szCs w:val="20"/>
          <w:lang w:val="es-ES_tradnl"/>
        </w:rPr>
        <w:t>o presenta</w:t>
      </w:r>
      <w:r w:rsidR="006056E1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5E61C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en las restantes ciudades investigadas por el INEC.</w:t>
      </w:r>
    </w:p>
    <w:p w14:paraId="1B360A4D" w14:textId="5D084C1F" w:rsidR="00DC5A1E" w:rsidRDefault="009C2186" w:rsidP="00DC5A1E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C2186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(-1,79%)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364A2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E175DA">
        <w:rPr>
          <w:rFonts w:ascii="Century Gothic" w:hAnsi="Century Gothic" w:cs="Calibri"/>
          <w:sz w:val="20"/>
          <w:szCs w:val="20"/>
          <w:lang w:val="es-ES_tradnl"/>
        </w:rPr>
        <w:t>disminución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1364A2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458C2">
        <w:rPr>
          <w:rFonts w:ascii="Century Gothic" w:hAnsi="Century Gothic" w:cs="Calibri"/>
          <w:sz w:val="20"/>
          <w:szCs w:val="20"/>
          <w:lang w:val="es-ES_tradnl"/>
        </w:rPr>
        <w:t xml:space="preserve">las siguientes 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2458C2">
        <w:rPr>
          <w:rFonts w:ascii="Century Gothic" w:hAnsi="Century Gothic" w:cs="Calibri"/>
          <w:sz w:val="20"/>
          <w:szCs w:val="20"/>
          <w:lang w:val="es-ES_tradnl"/>
        </w:rPr>
        <w:t>: Quito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458C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458C2" w:rsidRPr="002458C2">
        <w:rPr>
          <w:rFonts w:ascii="Century Gothic" w:hAnsi="Century Gothic" w:cs="Calibri"/>
          <w:sz w:val="20"/>
          <w:szCs w:val="20"/>
          <w:lang w:val="es-ES_tradnl"/>
        </w:rPr>
        <w:t>-7,23</w:t>
      </w:r>
      <w:r w:rsidR="002458C2">
        <w:rPr>
          <w:rFonts w:ascii="Century Gothic" w:hAnsi="Century Gothic" w:cs="Calibri"/>
          <w:sz w:val="20"/>
          <w:szCs w:val="20"/>
          <w:lang w:val="es-ES_tradnl"/>
        </w:rPr>
        <w:t>%) y Ambato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458C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458C2" w:rsidRPr="002458C2">
        <w:rPr>
          <w:rFonts w:ascii="Century Gothic" w:hAnsi="Century Gothic" w:cs="Calibri"/>
          <w:sz w:val="20"/>
          <w:szCs w:val="20"/>
          <w:lang w:val="es-ES_tradnl"/>
        </w:rPr>
        <w:t>-3,45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1690B">
        <w:rPr>
          <w:rFonts w:ascii="Century Gothic" w:hAnsi="Century Gothic" w:cs="Calibri"/>
          <w:sz w:val="20"/>
          <w:szCs w:val="20"/>
          <w:lang w:val="es-ES_tradnl"/>
        </w:rPr>
        <w:t>. La ciudad de Cuenca presenta variación positiva (</w:t>
      </w:r>
      <w:r w:rsidR="00E1690B" w:rsidRPr="00E1690B">
        <w:rPr>
          <w:rFonts w:ascii="Century Gothic" w:hAnsi="Century Gothic" w:cs="Calibri"/>
          <w:sz w:val="20"/>
          <w:szCs w:val="20"/>
          <w:lang w:val="es-ES_tradnl"/>
        </w:rPr>
        <w:t>3,23</w:t>
      </w:r>
      <w:r w:rsidR="00E1690B">
        <w:rPr>
          <w:rFonts w:ascii="Century Gothic" w:hAnsi="Century Gothic" w:cs="Calibri"/>
          <w:sz w:val="20"/>
          <w:szCs w:val="20"/>
          <w:lang w:val="es-ES_tradnl"/>
        </w:rPr>
        <w:t xml:space="preserve">%). Las demás ciudades investigadas por el INEC no presentan variación </w:t>
      </w:r>
      <w:r w:rsidR="005236E6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E1690B">
        <w:rPr>
          <w:rFonts w:ascii="Century Gothic" w:hAnsi="Century Gothic" w:cs="Calibri"/>
          <w:sz w:val="20"/>
          <w:szCs w:val="20"/>
          <w:lang w:val="es-ES_tradnl"/>
        </w:rPr>
        <w:t>para este artículo.</w:t>
      </w:r>
    </w:p>
    <w:p w14:paraId="6E743EC4" w14:textId="77777777" w:rsidR="00DC5A1E" w:rsidRDefault="00DC5A1E" w:rsidP="00DC5A1E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sectPr w:rsidR="00DC5A1E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E54C6" w14:textId="77777777" w:rsidR="000753E0" w:rsidRDefault="000753E0" w:rsidP="00AA3DA1">
      <w:pPr>
        <w:spacing w:after="0" w:line="240" w:lineRule="auto"/>
      </w:pPr>
      <w:r>
        <w:separator/>
      </w:r>
    </w:p>
  </w:endnote>
  <w:endnote w:type="continuationSeparator" w:id="0">
    <w:p w14:paraId="0F18A096" w14:textId="77777777" w:rsidR="000753E0" w:rsidRDefault="000753E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6056E1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533DA" w14:textId="77777777" w:rsidR="000753E0" w:rsidRDefault="000753E0" w:rsidP="00AA3DA1">
      <w:pPr>
        <w:spacing w:after="0" w:line="240" w:lineRule="auto"/>
      </w:pPr>
      <w:r>
        <w:separator/>
      </w:r>
    </w:p>
  </w:footnote>
  <w:footnote w:type="continuationSeparator" w:id="0">
    <w:p w14:paraId="78BC07A9" w14:textId="77777777" w:rsidR="000753E0" w:rsidRDefault="000753E0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07"/>
    <w:rsid w:val="000133E0"/>
    <w:rsid w:val="00013879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6678"/>
    <w:rsid w:val="00036EC4"/>
    <w:rsid w:val="000375CD"/>
    <w:rsid w:val="000378DE"/>
    <w:rsid w:val="00040741"/>
    <w:rsid w:val="00040A8C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3B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3F7A"/>
    <w:rsid w:val="000744A7"/>
    <w:rsid w:val="000745F7"/>
    <w:rsid w:val="00075309"/>
    <w:rsid w:val="000753E0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14CB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6DD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68A4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3394"/>
    <w:rsid w:val="000D4670"/>
    <w:rsid w:val="000D51E2"/>
    <w:rsid w:val="000D5D87"/>
    <w:rsid w:val="000D5E5E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002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6B7"/>
    <w:rsid w:val="001328EC"/>
    <w:rsid w:val="00132DE8"/>
    <w:rsid w:val="0013336A"/>
    <w:rsid w:val="0013346D"/>
    <w:rsid w:val="00133784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4A2"/>
    <w:rsid w:val="00136E6D"/>
    <w:rsid w:val="00136F2B"/>
    <w:rsid w:val="0013765F"/>
    <w:rsid w:val="001407AB"/>
    <w:rsid w:val="001416B5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4176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EEE"/>
    <w:rsid w:val="001A7F4C"/>
    <w:rsid w:val="001B0051"/>
    <w:rsid w:val="001B0737"/>
    <w:rsid w:val="001B1C1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065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143"/>
    <w:rsid w:val="001F7946"/>
    <w:rsid w:val="001F7BF1"/>
    <w:rsid w:val="001F7FCD"/>
    <w:rsid w:val="00200BF1"/>
    <w:rsid w:val="0020182D"/>
    <w:rsid w:val="00201A95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58C2"/>
    <w:rsid w:val="00245CED"/>
    <w:rsid w:val="00246005"/>
    <w:rsid w:val="00246A89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E2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5BD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6AFD"/>
    <w:rsid w:val="00287339"/>
    <w:rsid w:val="00287A3A"/>
    <w:rsid w:val="00287ABC"/>
    <w:rsid w:val="00287D07"/>
    <w:rsid w:val="00290346"/>
    <w:rsid w:val="002903B9"/>
    <w:rsid w:val="0029103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4AC"/>
    <w:rsid w:val="002A481A"/>
    <w:rsid w:val="002A68B7"/>
    <w:rsid w:val="002A6FDF"/>
    <w:rsid w:val="002A7379"/>
    <w:rsid w:val="002A7CD6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3CBC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5EFF"/>
    <w:rsid w:val="002E62C9"/>
    <w:rsid w:val="002E6B32"/>
    <w:rsid w:val="002E7191"/>
    <w:rsid w:val="002E764E"/>
    <w:rsid w:val="002E7A18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3A55"/>
    <w:rsid w:val="002F47B7"/>
    <w:rsid w:val="002F4A83"/>
    <w:rsid w:val="002F4D6A"/>
    <w:rsid w:val="002F50A5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CC2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475A6"/>
    <w:rsid w:val="00350171"/>
    <w:rsid w:val="003502A1"/>
    <w:rsid w:val="00350387"/>
    <w:rsid w:val="00350CDB"/>
    <w:rsid w:val="003514F2"/>
    <w:rsid w:val="00351AA0"/>
    <w:rsid w:val="00351D40"/>
    <w:rsid w:val="003521C6"/>
    <w:rsid w:val="003528A8"/>
    <w:rsid w:val="003531E9"/>
    <w:rsid w:val="003531F5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3131"/>
    <w:rsid w:val="003749CD"/>
    <w:rsid w:val="003751BB"/>
    <w:rsid w:val="003755DD"/>
    <w:rsid w:val="00375936"/>
    <w:rsid w:val="00375E48"/>
    <w:rsid w:val="003762C6"/>
    <w:rsid w:val="00377005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55BA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5BD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46DE"/>
    <w:rsid w:val="003A52B3"/>
    <w:rsid w:val="003A5A1C"/>
    <w:rsid w:val="003A5B7B"/>
    <w:rsid w:val="003A5DB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4E5E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0D3"/>
    <w:rsid w:val="004074C7"/>
    <w:rsid w:val="004109AD"/>
    <w:rsid w:val="00410EA4"/>
    <w:rsid w:val="0041154C"/>
    <w:rsid w:val="00411F06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5FBC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544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34F7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4D29"/>
    <w:rsid w:val="004C510E"/>
    <w:rsid w:val="004C56AB"/>
    <w:rsid w:val="004C6914"/>
    <w:rsid w:val="004C6C80"/>
    <w:rsid w:val="004C6DC0"/>
    <w:rsid w:val="004C6F1C"/>
    <w:rsid w:val="004C7687"/>
    <w:rsid w:val="004C77FA"/>
    <w:rsid w:val="004D0511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382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529"/>
    <w:rsid w:val="00510662"/>
    <w:rsid w:val="00510FAD"/>
    <w:rsid w:val="00511A9E"/>
    <w:rsid w:val="00511DB5"/>
    <w:rsid w:val="00511F7C"/>
    <w:rsid w:val="005125C4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6E6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3CD9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C45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2B45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311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67D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2C28"/>
    <w:rsid w:val="005A3419"/>
    <w:rsid w:val="005A34F8"/>
    <w:rsid w:val="005A3BBA"/>
    <w:rsid w:val="005A4692"/>
    <w:rsid w:val="005A535F"/>
    <w:rsid w:val="005A56D8"/>
    <w:rsid w:val="005A5822"/>
    <w:rsid w:val="005A5FD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81D"/>
    <w:rsid w:val="005E1BD9"/>
    <w:rsid w:val="005E24F5"/>
    <w:rsid w:val="005E2B9B"/>
    <w:rsid w:val="005E2FAB"/>
    <w:rsid w:val="005E385C"/>
    <w:rsid w:val="005E49BE"/>
    <w:rsid w:val="005E51FF"/>
    <w:rsid w:val="005E61C2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5F7A63"/>
    <w:rsid w:val="00600E7E"/>
    <w:rsid w:val="00601206"/>
    <w:rsid w:val="00602BF9"/>
    <w:rsid w:val="00603268"/>
    <w:rsid w:val="00603428"/>
    <w:rsid w:val="00603D29"/>
    <w:rsid w:val="006041DD"/>
    <w:rsid w:val="006046C2"/>
    <w:rsid w:val="0060492E"/>
    <w:rsid w:val="006056E1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0C94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37D5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5BA"/>
    <w:rsid w:val="00684E71"/>
    <w:rsid w:val="0068507C"/>
    <w:rsid w:val="006850E7"/>
    <w:rsid w:val="006855A8"/>
    <w:rsid w:val="00685722"/>
    <w:rsid w:val="0068593E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282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97D8B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1F9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539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2E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735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6D28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57EB7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181E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45B"/>
    <w:rsid w:val="00784708"/>
    <w:rsid w:val="00784712"/>
    <w:rsid w:val="0078571B"/>
    <w:rsid w:val="00786674"/>
    <w:rsid w:val="007870BB"/>
    <w:rsid w:val="00787248"/>
    <w:rsid w:val="0078750B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0A2A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10D6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C68"/>
    <w:rsid w:val="007F1E8C"/>
    <w:rsid w:val="007F1F07"/>
    <w:rsid w:val="007F24B7"/>
    <w:rsid w:val="007F268E"/>
    <w:rsid w:val="007F2B8A"/>
    <w:rsid w:val="007F2F00"/>
    <w:rsid w:val="007F3016"/>
    <w:rsid w:val="007F3DD7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2ED"/>
    <w:rsid w:val="00817612"/>
    <w:rsid w:val="00817DCF"/>
    <w:rsid w:val="008209DF"/>
    <w:rsid w:val="00820C9A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70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8AD"/>
    <w:rsid w:val="00842979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6E14"/>
    <w:rsid w:val="0085731F"/>
    <w:rsid w:val="008578E7"/>
    <w:rsid w:val="008606FD"/>
    <w:rsid w:val="008608D3"/>
    <w:rsid w:val="00860988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81D"/>
    <w:rsid w:val="00886911"/>
    <w:rsid w:val="00887091"/>
    <w:rsid w:val="0088712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1CD5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8B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3685"/>
    <w:rsid w:val="008D485F"/>
    <w:rsid w:val="008D5014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20F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666"/>
    <w:rsid w:val="00917ADF"/>
    <w:rsid w:val="009201F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994"/>
    <w:rsid w:val="00923BB7"/>
    <w:rsid w:val="009240E4"/>
    <w:rsid w:val="00924B5A"/>
    <w:rsid w:val="009258DD"/>
    <w:rsid w:val="00925938"/>
    <w:rsid w:val="00926DBF"/>
    <w:rsid w:val="009276D4"/>
    <w:rsid w:val="00927FD5"/>
    <w:rsid w:val="00930181"/>
    <w:rsid w:val="009303BD"/>
    <w:rsid w:val="009311E4"/>
    <w:rsid w:val="009312AD"/>
    <w:rsid w:val="00931AA1"/>
    <w:rsid w:val="00931E85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23D6"/>
    <w:rsid w:val="00972B49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411D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C60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692E"/>
    <w:rsid w:val="009B77A2"/>
    <w:rsid w:val="009C0526"/>
    <w:rsid w:val="009C118C"/>
    <w:rsid w:val="009C1DDA"/>
    <w:rsid w:val="009C2186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18F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E7E32"/>
    <w:rsid w:val="009F00E7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5F9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370"/>
    <w:rsid w:val="00A0766B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7CC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147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330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1B45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8FF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D7C72"/>
    <w:rsid w:val="00AE0916"/>
    <w:rsid w:val="00AE0D35"/>
    <w:rsid w:val="00AE1215"/>
    <w:rsid w:val="00AE1508"/>
    <w:rsid w:val="00AE158D"/>
    <w:rsid w:val="00AE1593"/>
    <w:rsid w:val="00AE1A01"/>
    <w:rsid w:val="00AE1DF5"/>
    <w:rsid w:val="00AE1E0B"/>
    <w:rsid w:val="00AE21C5"/>
    <w:rsid w:val="00AE2519"/>
    <w:rsid w:val="00AE28FC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4A3"/>
    <w:rsid w:val="00AF4849"/>
    <w:rsid w:val="00AF49F0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0728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6CC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5BE3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3E"/>
    <w:rsid w:val="00B60857"/>
    <w:rsid w:val="00B60984"/>
    <w:rsid w:val="00B609CB"/>
    <w:rsid w:val="00B609D3"/>
    <w:rsid w:val="00B60E97"/>
    <w:rsid w:val="00B61916"/>
    <w:rsid w:val="00B619B5"/>
    <w:rsid w:val="00B61B7A"/>
    <w:rsid w:val="00B61F3B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0EF0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47F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6EB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3FA9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A47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CFF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750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3CA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81A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10C"/>
    <w:rsid w:val="00C613A9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37A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7A7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4E78"/>
    <w:rsid w:val="00CB5174"/>
    <w:rsid w:val="00CB527A"/>
    <w:rsid w:val="00CB568A"/>
    <w:rsid w:val="00CB598A"/>
    <w:rsid w:val="00CB6030"/>
    <w:rsid w:val="00CB6118"/>
    <w:rsid w:val="00CB78EF"/>
    <w:rsid w:val="00CC084A"/>
    <w:rsid w:val="00CC08A9"/>
    <w:rsid w:val="00CC0EC4"/>
    <w:rsid w:val="00CC1C2B"/>
    <w:rsid w:val="00CC226F"/>
    <w:rsid w:val="00CC27AC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A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4924"/>
    <w:rsid w:val="00D15004"/>
    <w:rsid w:val="00D15175"/>
    <w:rsid w:val="00D154B9"/>
    <w:rsid w:val="00D1625B"/>
    <w:rsid w:val="00D167ED"/>
    <w:rsid w:val="00D173B4"/>
    <w:rsid w:val="00D2008B"/>
    <w:rsid w:val="00D20E42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3BBF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265D"/>
    <w:rsid w:val="00D63813"/>
    <w:rsid w:val="00D63E66"/>
    <w:rsid w:val="00D65478"/>
    <w:rsid w:val="00D65924"/>
    <w:rsid w:val="00D66559"/>
    <w:rsid w:val="00D66847"/>
    <w:rsid w:val="00D668CB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3A6A"/>
    <w:rsid w:val="00D84188"/>
    <w:rsid w:val="00D842A8"/>
    <w:rsid w:val="00D84838"/>
    <w:rsid w:val="00D868DB"/>
    <w:rsid w:val="00D8691D"/>
    <w:rsid w:val="00D869D8"/>
    <w:rsid w:val="00D86D15"/>
    <w:rsid w:val="00D872D5"/>
    <w:rsid w:val="00D87373"/>
    <w:rsid w:val="00D87802"/>
    <w:rsid w:val="00D901B3"/>
    <w:rsid w:val="00D907DA"/>
    <w:rsid w:val="00D91657"/>
    <w:rsid w:val="00D9286E"/>
    <w:rsid w:val="00D92957"/>
    <w:rsid w:val="00D92A4B"/>
    <w:rsid w:val="00D93C07"/>
    <w:rsid w:val="00D93CCA"/>
    <w:rsid w:val="00D95158"/>
    <w:rsid w:val="00D95646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6D7"/>
    <w:rsid w:val="00DB1791"/>
    <w:rsid w:val="00DB3840"/>
    <w:rsid w:val="00DB38E0"/>
    <w:rsid w:val="00DB3D00"/>
    <w:rsid w:val="00DB4343"/>
    <w:rsid w:val="00DB451B"/>
    <w:rsid w:val="00DB4744"/>
    <w:rsid w:val="00DB4E26"/>
    <w:rsid w:val="00DB5694"/>
    <w:rsid w:val="00DB5CAE"/>
    <w:rsid w:val="00DB5DE7"/>
    <w:rsid w:val="00DB6513"/>
    <w:rsid w:val="00DB6617"/>
    <w:rsid w:val="00DB6A2D"/>
    <w:rsid w:val="00DB6C54"/>
    <w:rsid w:val="00DB6EB3"/>
    <w:rsid w:val="00DB733C"/>
    <w:rsid w:val="00DB7354"/>
    <w:rsid w:val="00DB7761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5A1E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690B"/>
    <w:rsid w:val="00E175DA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27F9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737"/>
    <w:rsid w:val="00E45A6F"/>
    <w:rsid w:val="00E465E9"/>
    <w:rsid w:val="00E46ABC"/>
    <w:rsid w:val="00E46C28"/>
    <w:rsid w:val="00E4705B"/>
    <w:rsid w:val="00E47672"/>
    <w:rsid w:val="00E4789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EA6"/>
    <w:rsid w:val="00E54118"/>
    <w:rsid w:val="00E5587D"/>
    <w:rsid w:val="00E56155"/>
    <w:rsid w:val="00E56AC8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0C"/>
    <w:rsid w:val="00E71B5E"/>
    <w:rsid w:val="00E72411"/>
    <w:rsid w:val="00E73031"/>
    <w:rsid w:val="00E735BD"/>
    <w:rsid w:val="00E736D6"/>
    <w:rsid w:val="00E73ADE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B89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802"/>
    <w:rsid w:val="00F15BCA"/>
    <w:rsid w:val="00F16044"/>
    <w:rsid w:val="00F17044"/>
    <w:rsid w:val="00F1713E"/>
    <w:rsid w:val="00F1761B"/>
    <w:rsid w:val="00F17B92"/>
    <w:rsid w:val="00F2083E"/>
    <w:rsid w:val="00F20BDB"/>
    <w:rsid w:val="00F21D68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43C3"/>
    <w:rsid w:val="00F353F5"/>
    <w:rsid w:val="00F35A22"/>
    <w:rsid w:val="00F35B86"/>
    <w:rsid w:val="00F35FE8"/>
    <w:rsid w:val="00F366F4"/>
    <w:rsid w:val="00F36945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1C02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1583"/>
    <w:rsid w:val="00F72500"/>
    <w:rsid w:val="00F7299D"/>
    <w:rsid w:val="00F72A49"/>
    <w:rsid w:val="00F72E5E"/>
    <w:rsid w:val="00F75655"/>
    <w:rsid w:val="00F75B23"/>
    <w:rsid w:val="00F75FB5"/>
    <w:rsid w:val="00F777C4"/>
    <w:rsid w:val="00F77B62"/>
    <w:rsid w:val="00F77B90"/>
    <w:rsid w:val="00F8016D"/>
    <w:rsid w:val="00F813F5"/>
    <w:rsid w:val="00F818BD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ECA20-7B9E-4136-85AB-B007C498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Franklin Tenesaca</cp:lastModifiedBy>
  <cp:revision>132</cp:revision>
  <cp:lastPrinted>2011-11-24T21:43:00Z</cp:lastPrinted>
  <dcterms:created xsi:type="dcterms:W3CDTF">2023-08-14T19:05:00Z</dcterms:created>
  <dcterms:modified xsi:type="dcterms:W3CDTF">2023-10-16T13:26:00Z</dcterms:modified>
</cp:coreProperties>
</file>