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0F42">
      <w:pPr>
        <w:spacing w:line="326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6FA7D855" w:rsidR="00112895" w:rsidRPr="00267DE0" w:rsidRDefault="00BB06EB" w:rsidP="00CF0F42">
      <w:pPr>
        <w:spacing w:line="326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C550EA">
        <w:rPr>
          <w:rFonts w:ascii="Century Gothic" w:eastAsia="Century Gothic" w:hAnsi="Century Gothic" w:cs="Calibri"/>
          <w:b/>
          <w:color w:val="EE9F00"/>
          <w:lang w:eastAsia="es-ES" w:bidi="es-ES"/>
        </w:rPr>
        <w:t>Ju</w:t>
      </w:r>
      <w:r w:rsidR="00F36945">
        <w:rPr>
          <w:rFonts w:ascii="Century Gothic" w:eastAsia="Century Gothic" w:hAnsi="Century Gothic" w:cs="Calibri"/>
          <w:b/>
          <w:color w:val="EE9F00"/>
          <w:lang w:eastAsia="es-ES" w:bidi="es-ES"/>
        </w:rPr>
        <w:t>l</w:t>
      </w:r>
      <w:r w:rsidR="00C550EA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  <w:bookmarkStart w:id="0" w:name="_GoBack"/>
      <w:bookmarkEnd w:id="0"/>
    </w:p>
    <w:p w14:paraId="5E6A2967" w14:textId="42108AEA" w:rsidR="003D70FB" w:rsidRDefault="00CA1A53" w:rsidP="00CF0F42">
      <w:pPr>
        <w:spacing w:after="0"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76354BC" w14:textId="675BCA74" w:rsidR="00BB06EB" w:rsidRDefault="004C437D" w:rsidP="00CF0F42">
      <w:pPr>
        <w:tabs>
          <w:tab w:val="left" w:pos="5772"/>
        </w:tabs>
        <w:spacing w:after="0"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11,17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4,08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3,28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7F771570" w14:textId="42F0EEE3" w:rsidR="00BB06EB" w:rsidRPr="00BB06EB" w:rsidRDefault="00F34010" w:rsidP="00CF0F42">
      <w:pPr>
        <w:tabs>
          <w:tab w:val="left" w:pos="5772"/>
        </w:tabs>
        <w:spacing w:after="0"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-3,56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%), F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ideos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-3,44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-1,24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CF0F42">
      <w:pPr>
        <w:spacing w:before="240" w:line="326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1D7CAAE8" w14:textId="708B733F" w:rsidR="00A708FF" w:rsidRDefault="00411F06" w:rsidP="00CF0F42">
      <w:pPr>
        <w:suppressAutoHyphens/>
        <w:spacing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11F0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(11,17%)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>incremento de precios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todas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>
        <w:rPr>
          <w:rFonts w:ascii="Century Gothic" w:hAnsi="Century Gothic" w:cs="Calibri"/>
          <w:sz w:val="20"/>
          <w:szCs w:val="20"/>
          <w:lang w:val="es-ES_tradnl"/>
        </w:rPr>
        <w:t>investigadas por el INEC, principalmente en Ambato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25,99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19,52</w:t>
      </w:r>
      <w:r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14,47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3C118DB" w14:textId="66B636A8" w:rsidR="00A708FF" w:rsidRDefault="00411F06" w:rsidP="00CF0F42">
      <w:pPr>
        <w:suppressAutoHyphens/>
        <w:spacing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11F06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(4,08%)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33784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investigadas, principalmente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12,92</w:t>
      </w:r>
      <w:r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9,34</w:t>
      </w:r>
      <w:r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5,19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755DD">
        <w:rPr>
          <w:rFonts w:ascii="Century Gothic" w:hAnsi="Century Gothic" w:cs="Calibri"/>
          <w:sz w:val="20"/>
          <w:szCs w:val="20"/>
          <w:lang w:val="es-ES_tradnl"/>
        </w:rPr>
        <w:t>Caso contrari</w:t>
      </w:r>
      <w:r>
        <w:rPr>
          <w:rFonts w:ascii="Century Gothic" w:hAnsi="Century Gothic" w:cs="Calibri"/>
          <w:sz w:val="20"/>
          <w:szCs w:val="20"/>
          <w:lang w:val="es-ES_tradnl"/>
        </w:rPr>
        <w:t>o sucede en la ciudad de Cuenca (</w:t>
      </w:r>
      <w:r w:rsidRPr="00411F06">
        <w:rPr>
          <w:rFonts w:ascii="Century Gothic" w:hAnsi="Century Gothic" w:cs="Calibri"/>
          <w:sz w:val="20"/>
          <w:szCs w:val="20"/>
          <w:lang w:val="es-ES_tradnl"/>
        </w:rPr>
        <w:t>-2,27</w:t>
      </w:r>
      <w:r w:rsidR="003755DD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</w:t>
      </w:r>
      <w:r w:rsidR="00C303CA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3755D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Machala, Santo Domingo y Ambato 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no presentan variación de precios.</w:t>
      </w:r>
    </w:p>
    <w:p w14:paraId="6DE1D3BF" w14:textId="436A170E" w:rsidR="00BF3750" w:rsidRDefault="00BF3750" w:rsidP="00CF0F42">
      <w:pPr>
        <w:suppressAutoHyphens/>
        <w:spacing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3750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(3,28%)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investigadas, principalmente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Pr="00BF3750">
        <w:rPr>
          <w:rFonts w:ascii="Century Gothic" w:hAnsi="Century Gothic" w:cs="Calibri"/>
          <w:sz w:val="20"/>
          <w:szCs w:val="20"/>
          <w:lang w:val="es-ES_tradnl"/>
        </w:rPr>
        <w:t>13,78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BF3750">
        <w:rPr>
          <w:rFonts w:ascii="Century Gothic" w:hAnsi="Century Gothic" w:cs="Calibri"/>
          <w:sz w:val="20"/>
          <w:szCs w:val="20"/>
          <w:lang w:val="es-ES_tradnl"/>
        </w:rPr>
        <w:t>6,92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BF3750">
        <w:rPr>
          <w:rFonts w:ascii="Century Gothic" w:hAnsi="Century Gothic" w:cs="Calibri"/>
          <w:sz w:val="20"/>
          <w:szCs w:val="20"/>
          <w:lang w:val="es-ES_tradnl"/>
        </w:rPr>
        <w:t>4,59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052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>
        <w:rPr>
          <w:rFonts w:ascii="Century Gothic" w:hAnsi="Century Gothic" w:cs="Calibri"/>
          <w:sz w:val="20"/>
          <w:szCs w:val="20"/>
          <w:lang w:val="es-ES_tradnl"/>
        </w:rPr>
        <w:t>Caso contrario sucede en la ciudad de Loja (</w:t>
      </w:r>
      <w:r w:rsidRPr="00BF3750">
        <w:rPr>
          <w:rFonts w:ascii="Century Gothic" w:hAnsi="Century Gothic" w:cs="Calibri"/>
          <w:sz w:val="20"/>
          <w:szCs w:val="20"/>
          <w:lang w:val="es-ES_tradnl"/>
        </w:rPr>
        <w:t>-0,50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 variación negativa.</w:t>
      </w:r>
    </w:p>
    <w:p w14:paraId="4BE84738" w14:textId="0B85476B" w:rsidR="000B2014" w:rsidRDefault="00FC5E40" w:rsidP="00CF0F42">
      <w:pPr>
        <w:suppressAutoHyphens/>
        <w:spacing w:line="326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0D62B091" w14:textId="77777777" w:rsidR="00A0766B" w:rsidRDefault="00B00728" w:rsidP="00CF0F42">
      <w:pPr>
        <w:suppressAutoHyphens/>
        <w:spacing w:line="32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00728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(-3,56%)</w:t>
      </w:r>
      <w:r w:rsidRPr="00B00728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negativa de precios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Quito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-13,41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Machala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-2,58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 y Guayaquil (-0,89%). Caso contrario sucede en la ciudad de Manta (1,32%) que presenta variación positiva. Las demás ciudades investigadas por el INEC no presentan variación de precios.</w:t>
      </w:r>
    </w:p>
    <w:p w14:paraId="4DD61699" w14:textId="38B026A6" w:rsidR="00B00728" w:rsidRDefault="00B00728" w:rsidP="00CF0F42">
      <w:pPr>
        <w:suppressAutoHyphens/>
        <w:spacing w:line="326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B00728">
        <w:rPr>
          <w:rFonts w:ascii="Century Gothic" w:hAnsi="Century Gothic" w:cs="Calibri"/>
          <w:sz w:val="20"/>
          <w:szCs w:val="20"/>
          <w:u w:val="single"/>
          <w:lang w:val="es-ES_tradnl"/>
        </w:rPr>
        <w:t>Fideos (-3,4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4%)</w:t>
      </w:r>
      <w:r w:rsidRPr="00B0072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0766B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ta disminución de precios en varias de las ciudades investigadas, principalmente en Manta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-14,82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-7,87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 y Santo Domingo        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-4,45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4,28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0,76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0766B" w:rsidRPr="00A0766B">
        <w:rPr>
          <w:rFonts w:ascii="Century Gothic" w:hAnsi="Century Gothic" w:cs="Calibri"/>
          <w:sz w:val="20"/>
          <w:szCs w:val="20"/>
          <w:lang w:val="es-ES_tradnl"/>
        </w:rPr>
        <w:t>0,65</w:t>
      </w:r>
      <w:r w:rsidR="00A0766B">
        <w:rPr>
          <w:rFonts w:ascii="Century Gothic" w:hAnsi="Century Gothic" w:cs="Calibri"/>
          <w:sz w:val="20"/>
          <w:szCs w:val="20"/>
          <w:lang w:val="es-ES_tradnl"/>
        </w:rPr>
        <w:t>%) que presentan variación positiva. La ciudad de Machala no presenta variación de precios.</w:t>
      </w:r>
    </w:p>
    <w:p w14:paraId="6A25199A" w14:textId="6EBDB38D" w:rsidR="00B00728" w:rsidRDefault="00B00728" w:rsidP="00B31933">
      <w:pPr>
        <w:suppressAutoHyphens/>
        <w:spacing w:after="0" w:line="336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(-1,24%)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A5DBB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3A5DBB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3A5DBB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 xml:space="preserve"> las ciudades de Quito (</w:t>
      </w:r>
      <w:r w:rsidR="003A5DBB" w:rsidRPr="003A5DBB">
        <w:rPr>
          <w:rFonts w:ascii="Century Gothic" w:hAnsi="Century Gothic" w:cs="Calibri"/>
          <w:sz w:val="20"/>
          <w:szCs w:val="20"/>
          <w:lang w:val="es-ES_tradnl"/>
        </w:rPr>
        <w:t>-4,46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3A5DBB" w:rsidRPr="003A5DBB">
        <w:rPr>
          <w:rFonts w:ascii="Century Gothic" w:hAnsi="Century Gothic" w:cs="Calibri"/>
          <w:sz w:val="20"/>
          <w:szCs w:val="20"/>
          <w:lang w:val="es-ES_tradnl"/>
        </w:rPr>
        <w:t>-0,46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>%). Caso contrario sucede en la ciudad de Manta (</w:t>
      </w:r>
      <w:r w:rsidR="003A5DBB" w:rsidRPr="003A5DBB">
        <w:rPr>
          <w:rFonts w:ascii="Century Gothic" w:hAnsi="Century Gothic" w:cs="Calibri"/>
          <w:sz w:val="20"/>
          <w:szCs w:val="20"/>
          <w:lang w:val="es-ES_tradnl"/>
        </w:rPr>
        <w:t>0,94</w:t>
      </w:r>
      <w:r w:rsidR="003A5DBB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  <w:r w:rsidR="00E47892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B0072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CC29E" w14:textId="77777777" w:rsidR="00633517" w:rsidRDefault="00633517" w:rsidP="00AA3DA1">
      <w:pPr>
        <w:spacing w:after="0" w:line="240" w:lineRule="auto"/>
      </w:pPr>
      <w:r>
        <w:separator/>
      </w:r>
    </w:p>
  </w:endnote>
  <w:endnote w:type="continuationSeparator" w:id="0">
    <w:p w14:paraId="76979308" w14:textId="77777777" w:rsidR="00633517" w:rsidRDefault="0063351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8F186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0818C" w14:textId="77777777" w:rsidR="00633517" w:rsidRDefault="00633517" w:rsidP="00AA3DA1">
      <w:pPr>
        <w:spacing w:after="0" w:line="240" w:lineRule="auto"/>
      </w:pPr>
      <w:r>
        <w:separator/>
      </w:r>
    </w:p>
  </w:footnote>
  <w:footnote w:type="continuationSeparator" w:id="0">
    <w:p w14:paraId="7C70AC74" w14:textId="77777777" w:rsidR="00633517" w:rsidRDefault="00633517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DC2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4CC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517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48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865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1933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0F42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E351-8E24-455E-802D-9F2DA074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1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341</cp:revision>
  <cp:lastPrinted>2011-11-24T21:43:00Z</cp:lastPrinted>
  <dcterms:created xsi:type="dcterms:W3CDTF">2022-06-15T21:30:00Z</dcterms:created>
  <dcterms:modified xsi:type="dcterms:W3CDTF">2023-08-01T13:38:00Z</dcterms:modified>
</cp:coreProperties>
</file>