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52CD2981" w:rsidR="00440C1B" w:rsidRDefault="00CA1A53" w:rsidP="00746D28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204AD95E" w:rsidR="00112895" w:rsidRPr="00267DE0" w:rsidRDefault="00F71583" w:rsidP="00746D28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1B1C17">
        <w:rPr>
          <w:rFonts w:ascii="Century Gothic" w:eastAsia="Century Gothic" w:hAnsi="Century Gothic" w:cs="Calibri"/>
          <w:b/>
          <w:color w:val="EE9F00"/>
          <w:lang w:eastAsia="es-ES" w:bidi="es-ES"/>
        </w:rPr>
        <w:t>Agosto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6C0539">
      <w:pPr>
        <w:spacing w:after="0"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643D6991" w14:textId="2EAD1D06" w:rsidR="00F71583" w:rsidRPr="00F71583" w:rsidRDefault="004C437D" w:rsidP="006C0539">
      <w:pPr>
        <w:tabs>
          <w:tab w:val="left" w:pos="5772"/>
        </w:tabs>
        <w:spacing w:after="0"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F71583" w:rsidRPr="00F71583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F7158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71583" w:rsidRPr="00F71583">
        <w:rPr>
          <w:rFonts w:ascii="Century Gothic" w:hAnsi="Century Gothic" w:cs="Calibri"/>
          <w:sz w:val="20"/>
          <w:szCs w:val="20"/>
          <w:lang w:val="es-ES_tradnl"/>
        </w:rPr>
        <w:t>8,60</w:t>
      </w:r>
      <w:r w:rsidR="00F71583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F71583" w:rsidRPr="00F71583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F7158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71583" w:rsidRPr="00F71583">
        <w:rPr>
          <w:rFonts w:ascii="Century Gothic" w:hAnsi="Century Gothic" w:cs="Calibri"/>
          <w:sz w:val="20"/>
          <w:szCs w:val="20"/>
          <w:lang w:val="es-ES_tradnl"/>
        </w:rPr>
        <w:t>4,13</w:t>
      </w:r>
      <w:r w:rsidR="00F71583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F71583" w:rsidRPr="00F71583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F7158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71583" w:rsidRPr="00F71583">
        <w:rPr>
          <w:rFonts w:ascii="Century Gothic" w:hAnsi="Century Gothic" w:cs="Calibri"/>
          <w:sz w:val="20"/>
          <w:szCs w:val="20"/>
          <w:lang w:val="es-ES_tradnl"/>
        </w:rPr>
        <w:t>2,26</w:t>
      </w:r>
      <w:r w:rsidR="00F71583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3508CA65" w14:textId="4AD6383F" w:rsidR="006637D5" w:rsidRPr="006637D5" w:rsidRDefault="00F34010" w:rsidP="006C0539">
      <w:pPr>
        <w:tabs>
          <w:tab w:val="left" w:pos="5772"/>
        </w:tabs>
        <w:spacing w:after="0"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637D5" w:rsidRPr="006637D5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6637D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637D5" w:rsidRPr="006637D5">
        <w:rPr>
          <w:rFonts w:ascii="Century Gothic" w:hAnsi="Century Gothic" w:cs="Calibri"/>
          <w:sz w:val="20"/>
          <w:szCs w:val="20"/>
          <w:lang w:val="es-ES_tradnl"/>
        </w:rPr>
        <w:t>-3,60</w:t>
      </w:r>
      <w:r w:rsidR="006637D5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6637D5" w:rsidRPr="006637D5">
        <w:rPr>
          <w:rFonts w:ascii="Century Gothic" w:hAnsi="Century Gothic" w:cs="Calibri"/>
          <w:sz w:val="20"/>
          <w:szCs w:val="20"/>
          <w:lang w:val="es-ES_tradnl"/>
        </w:rPr>
        <w:t xml:space="preserve"> Corvina de mar</w:t>
      </w:r>
      <w:r w:rsidR="006637D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637D5" w:rsidRPr="006637D5">
        <w:rPr>
          <w:rFonts w:ascii="Century Gothic" w:hAnsi="Century Gothic" w:cs="Calibri"/>
          <w:sz w:val="20"/>
          <w:szCs w:val="20"/>
          <w:lang w:val="es-ES_tradnl"/>
        </w:rPr>
        <w:t>-3,10</w:t>
      </w:r>
      <w:r w:rsidR="006637D5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6637D5" w:rsidRPr="006637D5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6637D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637D5" w:rsidRPr="006637D5">
        <w:rPr>
          <w:rFonts w:ascii="Century Gothic" w:hAnsi="Century Gothic" w:cs="Calibri"/>
          <w:sz w:val="20"/>
          <w:szCs w:val="20"/>
          <w:lang w:val="es-ES_tradnl"/>
        </w:rPr>
        <w:t>-2,31</w:t>
      </w:r>
      <w:r w:rsidR="006637D5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6C0539">
      <w:pPr>
        <w:spacing w:before="240" w:line="324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291312BA" w14:textId="550EDB50" w:rsidR="0006533B" w:rsidRDefault="0006533B" w:rsidP="006C0539">
      <w:pPr>
        <w:suppressAutoHyphens/>
        <w:spacing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(8,60%)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Pr="0006533B">
        <w:t xml:space="preserve"> 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>
        <w:rPr>
          <w:rFonts w:ascii="Century Gothic" w:hAnsi="Century Gothic" w:cs="Calibri"/>
          <w:sz w:val="20"/>
          <w:szCs w:val="20"/>
          <w:lang w:val="es-ES_tradnl"/>
        </w:rPr>
        <w:t>iudades de Ambato (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25,99</w:t>
      </w:r>
      <w:r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20,09</w:t>
      </w:r>
      <w:r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11,87</w:t>
      </w:r>
      <w:r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7,72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</w:t>
      </w:r>
      <w:r w:rsidR="009723D6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>
        <w:rPr>
          <w:rFonts w:ascii="Century Gothic" w:hAnsi="Century Gothic" w:cs="Calibri"/>
          <w:sz w:val="20"/>
          <w:szCs w:val="20"/>
          <w:lang w:val="es-ES_tradnl"/>
        </w:rPr>
        <w:t>Cuenca (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-23,69</w:t>
      </w:r>
      <w:r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-5,90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 variación negativa. Las demás ciudades investigadas por el INEC no presentan variación de precios.</w:t>
      </w:r>
    </w:p>
    <w:p w14:paraId="18F62371" w14:textId="3C9C44A9" w:rsidR="00D83A6A" w:rsidRDefault="0006533B" w:rsidP="006C0539">
      <w:pPr>
        <w:suppressAutoHyphens/>
        <w:spacing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6533B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(4,13%)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D83A6A" w:rsidRPr="00D83A6A">
        <w:t xml:space="preserve"> 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D83A6A" w:rsidRPr="008D1D3F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 xml:space="preserve"> de precios en las ciudades 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de Cuenca (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>11,22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>8,02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>5,27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>3,57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7A67440D" w14:textId="196A5BDE" w:rsidR="0006533B" w:rsidRPr="0006533B" w:rsidRDefault="0006533B" w:rsidP="006C0539">
      <w:pPr>
        <w:suppressAutoHyphens/>
        <w:spacing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(2,26%)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3A6A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incremento de precios en varias de las ciudades investigadas por el INEC, principalmente en Esmeraldas (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>6,27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>6,20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D83A6A" w:rsidRPr="00D83A6A">
        <w:rPr>
          <w:rFonts w:ascii="Century Gothic" w:hAnsi="Century Gothic" w:cs="Calibri"/>
          <w:sz w:val="20"/>
          <w:szCs w:val="20"/>
          <w:lang w:val="es-ES_tradnl"/>
        </w:rPr>
        <w:t>3,13</w:t>
      </w:r>
      <w:r w:rsidR="00D83A6A">
        <w:rPr>
          <w:rFonts w:ascii="Century Gothic" w:hAnsi="Century Gothic" w:cs="Calibri"/>
          <w:sz w:val="20"/>
          <w:szCs w:val="20"/>
          <w:lang w:val="es-ES_tradnl"/>
        </w:rPr>
        <w:t>%). Las ciudades de Machala, Loja y Ambato no presentan variación de precios.</w:t>
      </w:r>
    </w:p>
    <w:p w14:paraId="4BE84738" w14:textId="0B85476B" w:rsidR="000B2014" w:rsidRDefault="00FC5E40" w:rsidP="006C0539">
      <w:pPr>
        <w:suppressAutoHyphens/>
        <w:spacing w:line="324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38AE8431" w14:textId="15B11D03" w:rsidR="0078750B" w:rsidRDefault="0078750B" w:rsidP="006C0539">
      <w:pPr>
        <w:suppressAutoHyphens/>
        <w:spacing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8750B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(-3,60%)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investigadas, principalmente en Quito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-11,58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-8,06</w:t>
      </w:r>
      <w:r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-5,76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Machala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1,60</w:t>
      </w:r>
      <w:r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1,00</w:t>
      </w:r>
      <w:r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0,21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presentan variación positiva de precios.</w:t>
      </w:r>
    </w:p>
    <w:p w14:paraId="6E0C37E7" w14:textId="1C3DB25E" w:rsidR="0078750B" w:rsidRDefault="0078750B" w:rsidP="006C0539">
      <w:pPr>
        <w:suppressAutoHyphens/>
        <w:spacing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8750B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(-3,10%)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>
        <w:rPr>
          <w:rFonts w:ascii="Century Gothic" w:hAnsi="Century Gothic" w:cs="Calibri"/>
          <w:sz w:val="20"/>
          <w:szCs w:val="20"/>
          <w:lang w:val="es-ES_tradnl"/>
        </w:rPr>
        <w:t>ta disminución de precios en varias de las ciudades investigadas, principalmente en Quito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-10,42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-10,16</w:t>
      </w:r>
      <w:r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-7,62</w:t>
      </w:r>
      <w:r>
        <w:rPr>
          <w:rFonts w:ascii="Century Gothic" w:hAnsi="Century Gothic" w:cs="Calibri"/>
          <w:sz w:val="20"/>
          <w:szCs w:val="20"/>
          <w:lang w:val="es-ES_tradnl"/>
        </w:rPr>
        <w:t>%).Caso contrario sucede en las ciudades de Ambato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9,94</w:t>
      </w:r>
      <w:r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4,37</w:t>
      </w:r>
      <w:r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1,40</w:t>
      </w:r>
      <w:r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Pr="0078750B">
        <w:rPr>
          <w:rFonts w:ascii="Century Gothic" w:hAnsi="Century Gothic" w:cs="Calibri"/>
          <w:sz w:val="20"/>
          <w:szCs w:val="20"/>
          <w:lang w:val="es-ES_tradnl"/>
        </w:rPr>
        <w:t>1,14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presentan variación positiva de precios</w:t>
      </w:r>
      <w:r w:rsidR="00720735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7D9D3EB3" w14:textId="5DAC20BB" w:rsidR="0078750B" w:rsidRDefault="0078750B" w:rsidP="006C0539">
      <w:pPr>
        <w:suppressAutoHyphens/>
        <w:spacing w:line="324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8750B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(-2,31%)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2073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20735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20735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720735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20735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720735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20735"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investigadas, principalmente en Manta (</w:t>
      </w:r>
      <w:r w:rsidR="00720735" w:rsidRPr="00720735">
        <w:rPr>
          <w:rFonts w:ascii="Century Gothic" w:hAnsi="Century Gothic" w:cs="Calibri"/>
          <w:sz w:val="20"/>
          <w:szCs w:val="20"/>
          <w:lang w:val="es-ES_tradnl"/>
        </w:rPr>
        <w:t>-6,33</w:t>
      </w:r>
      <w:r w:rsidR="00720735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720735" w:rsidRPr="00720735">
        <w:rPr>
          <w:rFonts w:ascii="Century Gothic" w:hAnsi="Century Gothic" w:cs="Calibri"/>
          <w:sz w:val="20"/>
          <w:szCs w:val="20"/>
          <w:lang w:val="es-ES_tradnl"/>
        </w:rPr>
        <w:t>-3,30</w:t>
      </w:r>
      <w:r w:rsidR="00720735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720735" w:rsidRPr="00720735">
        <w:rPr>
          <w:rFonts w:ascii="Century Gothic" w:hAnsi="Century Gothic" w:cs="Calibri"/>
          <w:sz w:val="20"/>
          <w:szCs w:val="20"/>
          <w:lang w:val="es-ES_tradnl"/>
        </w:rPr>
        <w:t>-2,62</w:t>
      </w:r>
      <w:r w:rsidR="00720735">
        <w:rPr>
          <w:rFonts w:ascii="Century Gothic" w:hAnsi="Century Gothic" w:cs="Calibri"/>
          <w:sz w:val="20"/>
          <w:szCs w:val="20"/>
          <w:lang w:val="es-ES_tradnl"/>
        </w:rPr>
        <w:t>%). Las ciudades de Machala, Loja y Cuenca no presentan variación de precios.</w:t>
      </w:r>
    </w:p>
    <w:sectPr w:rsidR="0078750B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310CC" w14:textId="77777777" w:rsidR="004D0511" w:rsidRDefault="004D0511" w:rsidP="00AA3DA1">
      <w:pPr>
        <w:spacing w:after="0" w:line="240" w:lineRule="auto"/>
      </w:pPr>
      <w:r>
        <w:separator/>
      </w:r>
    </w:p>
  </w:endnote>
  <w:endnote w:type="continuationSeparator" w:id="0">
    <w:p w14:paraId="397FF8A9" w14:textId="77777777" w:rsidR="004D0511" w:rsidRDefault="004D051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C0539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012D1" w14:textId="77777777" w:rsidR="004D0511" w:rsidRDefault="004D0511" w:rsidP="00AA3DA1">
      <w:pPr>
        <w:spacing w:after="0" w:line="240" w:lineRule="auto"/>
      </w:pPr>
      <w:r>
        <w:separator/>
      </w:r>
    </w:p>
  </w:footnote>
  <w:footnote w:type="continuationSeparator" w:id="0">
    <w:p w14:paraId="5E3FFE2D" w14:textId="77777777" w:rsidR="004D0511" w:rsidRDefault="004D0511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6678"/>
    <w:rsid w:val="000375CD"/>
    <w:rsid w:val="000378DE"/>
    <w:rsid w:val="00040741"/>
    <w:rsid w:val="00040A8C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3B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14CB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1E2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784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1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065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143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6005"/>
    <w:rsid w:val="00246A89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5BD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03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A7379"/>
    <w:rsid w:val="002A7CD6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5EFF"/>
    <w:rsid w:val="002E62C9"/>
    <w:rsid w:val="002E6B32"/>
    <w:rsid w:val="002E7191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3A55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CC2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5DD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2B3"/>
    <w:rsid w:val="003A5A1C"/>
    <w:rsid w:val="003A5B7B"/>
    <w:rsid w:val="003A5DB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511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382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529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C45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2B45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81D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37D5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97D8B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539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735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6D28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50B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014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666"/>
    <w:rsid w:val="00917ADF"/>
    <w:rsid w:val="009201F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23D6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370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147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4A3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6CC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1F3B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37A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265D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3A6A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07DA"/>
    <w:rsid w:val="00D91657"/>
    <w:rsid w:val="00D9286E"/>
    <w:rsid w:val="00D92957"/>
    <w:rsid w:val="00D92A4B"/>
    <w:rsid w:val="00D93C07"/>
    <w:rsid w:val="00D93CCA"/>
    <w:rsid w:val="00D95158"/>
    <w:rsid w:val="00D95646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43C3"/>
    <w:rsid w:val="00F353F5"/>
    <w:rsid w:val="00F35A22"/>
    <w:rsid w:val="00F35B86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1583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18BD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915F-A4D9-4D16-BB50-B1377675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32</cp:revision>
  <cp:lastPrinted>2011-11-24T21:43:00Z</cp:lastPrinted>
  <dcterms:created xsi:type="dcterms:W3CDTF">2023-08-14T19:05:00Z</dcterms:created>
  <dcterms:modified xsi:type="dcterms:W3CDTF">2023-09-01T16:36:00Z</dcterms:modified>
</cp:coreProperties>
</file>