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81B7E" w14:textId="0EF9BB82" w:rsidR="0007659A" w:rsidRPr="00AE6D4D" w:rsidRDefault="00F97703" w:rsidP="00AE6D4D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bookmarkStart w:id="0" w:name="_GoBack"/>
      <w:bookmarkEnd w:id="0"/>
      <w:r w:rsidRPr="00AE6D4D">
        <w:rPr>
          <w:rFonts w:ascii="Century Gothic" w:hAnsi="Century Gothic"/>
          <w:b/>
          <w:bCs/>
          <w:color w:val="505A64"/>
          <w:sz w:val="28"/>
          <w:szCs w:val="28"/>
        </w:rPr>
        <w:t>Reporte de variaciones quincenales</w:t>
      </w:r>
    </w:p>
    <w:p w14:paraId="097691D9" w14:textId="1119A53B" w:rsidR="00D107CE" w:rsidRPr="00AE6D4D" w:rsidRDefault="00D107CE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5B6C7388" w14:textId="074076F2" w:rsidR="005B5BEB" w:rsidRPr="00AE6D4D" w:rsidRDefault="00C94FBA" w:rsidP="00AE6D4D">
      <w:pPr>
        <w:rPr>
          <w:rFonts w:ascii="Century Gothic" w:hAnsi="Century Gothic"/>
          <w:b/>
          <w:color w:val="505A64"/>
          <w:sz w:val="22"/>
          <w:szCs w:val="22"/>
        </w:rPr>
      </w:pPr>
      <w:r>
        <w:rPr>
          <w:rFonts w:ascii="Century Gothic" w:hAnsi="Century Gothic"/>
          <w:b/>
          <w:color w:val="505A64"/>
          <w:sz w:val="22"/>
          <w:szCs w:val="22"/>
        </w:rPr>
        <w:t xml:space="preserve">Primera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Quincena – </w:t>
      </w:r>
      <w:r>
        <w:rPr>
          <w:rFonts w:ascii="Century Gothic" w:hAnsi="Century Gothic"/>
          <w:b/>
          <w:color w:val="505A64"/>
          <w:sz w:val="22"/>
          <w:szCs w:val="22"/>
        </w:rPr>
        <w:t>mayo</w:t>
      </w:r>
      <w:r w:rsidR="00693013" w:rsidRPr="00AE6D4D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>2024</w:t>
      </w:r>
    </w:p>
    <w:p w14:paraId="0A63EC31" w14:textId="77777777" w:rsidR="00F97703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208C8C0" w14:textId="5ECF9A5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nivel nacional, los artículos</w:t>
      </w:r>
      <w:r w:rsidR="00DB4034" w:rsidRPr="00AE6D4D">
        <w:rPr>
          <w:rStyle w:val="Refdenotaalpie"/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footnoteReference w:id="1"/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mayores variaciones son los siguientes:</w:t>
      </w:r>
    </w:p>
    <w:p w14:paraId="7645D714" w14:textId="77777777" w:rsidR="00E12073" w:rsidRPr="00AE6D4D" w:rsidRDefault="00E1207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2F241CEA" w14:textId="189DEBF5" w:rsidR="00CB3D7D" w:rsidRPr="00CB3D7D" w:rsidRDefault="00F97703" w:rsidP="00CB3D7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Positiva:</w:t>
      </w:r>
      <w:r w:rsidR="00773A8F" w:rsidRPr="00773A8F">
        <w:t xml:space="preserve"> </w:t>
      </w:r>
      <w:r w:rsidR="00CB3D7D" w:rsidRP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Fideos</w:t>
      </w:r>
      <w:r w:rsid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CB3D7D" w:rsidRP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4,70</w:t>
      </w:r>
      <w:r w:rsid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CB3D7D" w:rsidRP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 w:rsid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CB3D7D" w:rsidRP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3,72</w:t>
      </w:r>
      <w:r w:rsid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CB3D7D" w:rsidRP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 w:rsid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CB3D7D" w:rsidRP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1,62</w:t>
      </w:r>
      <w:r w:rsid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428014F7" w14:textId="77777777" w:rsidR="00EB784E" w:rsidRPr="00B9085F" w:rsidRDefault="00EB784E" w:rsidP="00B9085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F0428BD" w14:textId="2F7A727B" w:rsidR="00CB3D7D" w:rsidRPr="00CB3D7D" w:rsidRDefault="00F97703" w:rsidP="00CB3D7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Negativa:</w:t>
      </w:r>
      <w:r w:rsidR="00E1207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B3D7D" w:rsidRP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Cebolla </w:t>
      </w:r>
      <w:proofErr w:type="spellStart"/>
      <w:r w:rsidR="00CB3D7D" w:rsidRP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paiteña</w:t>
      </w:r>
      <w:proofErr w:type="spellEnd"/>
      <w:r w:rsidR="00CB3D7D" w:rsidRP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colorada</w:t>
      </w:r>
      <w:r w:rsid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CB3D7D" w:rsidRP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-3,95</w:t>
      </w:r>
      <w:r w:rsid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CB3D7D" w:rsidRP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 w:rsid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CB3D7D" w:rsidRP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-3,45</w:t>
      </w:r>
      <w:r w:rsid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CB3D7D" w:rsidRP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 w:rsid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CB3D7D" w:rsidRP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-1,57</w:t>
      </w:r>
      <w:r w:rsidR="00CB3D7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4D1E2EC9" w14:textId="77777777" w:rsidR="00B9085F" w:rsidRDefault="00B9085F" w:rsidP="008D096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77E2A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positiva fueron:</w:t>
      </w:r>
    </w:p>
    <w:p w14:paraId="5D461022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2EB5E6C2" w14:textId="3577CDF8" w:rsidR="00A4733B" w:rsidRDefault="00A4733B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4733B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Fideos (4,70%)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las ciudades de Santo Domingo (</w:t>
      </w:r>
      <w:r w:rsidRPr="00A4733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18,09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Guayaquil (</w:t>
      </w:r>
      <w:r w:rsidRPr="00A4733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10,72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Ambato (</w:t>
      </w:r>
      <w:r w:rsidRPr="00A4733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7,70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Cuenca (</w:t>
      </w:r>
      <w:r w:rsidRPr="00A4733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7,22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  <w:r w:rsidR="008E6E4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Caso contrario sucede en la</w:t>
      </w:r>
      <w:r w:rsidR="00423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8E6E4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ciudad</w:t>
      </w:r>
      <w:r w:rsidR="00423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es</w:t>
      </w:r>
      <w:r w:rsidR="008E6E4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Quito (</w:t>
      </w:r>
      <w:r w:rsidR="008E6E42" w:rsidRPr="008E6E4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-2,70</w:t>
      </w:r>
      <w:r w:rsidR="008E6E4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Manta (</w:t>
      </w:r>
      <w:r w:rsidR="008E6E42" w:rsidRPr="008E6E4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-1,13</w:t>
      </w:r>
      <w:r w:rsidR="008E6E4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Loja (</w:t>
      </w:r>
      <w:r w:rsidR="008E6E42" w:rsidRPr="008E6E4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-0,79</w:t>
      </w:r>
      <w:r w:rsidR="008E6E4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que presentan variación negativa. Las demás ciudades </w:t>
      </w:r>
      <w:r w:rsidR="00894FC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investigadas </w:t>
      </w:r>
      <w:r w:rsidR="008E6E4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no presentan variación de precios.</w:t>
      </w:r>
    </w:p>
    <w:p w14:paraId="59CE004F" w14:textId="77777777" w:rsidR="00A4733B" w:rsidRDefault="00A4733B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63904BA8" w14:textId="1EBC1B09" w:rsidR="00A4733B" w:rsidRDefault="00A4733B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4733B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Corvina de mar (3,</w:t>
      </w:r>
      <w:r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72%)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423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23376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 w:rsidR="00423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varias de las ciudades investigadas, principalmente en Santo Domingo (</w:t>
      </w:r>
      <w:r w:rsidR="00423376" w:rsidRPr="00423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11,03</w:t>
      </w:r>
      <w:r w:rsidR="00423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Guayaquil (</w:t>
      </w:r>
      <w:r w:rsidR="00423376" w:rsidRPr="00423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9,55</w:t>
      </w:r>
      <w:r w:rsidR="00423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Ambato (</w:t>
      </w:r>
      <w:r w:rsidR="00423376" w:rsidRPr="00423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7,33</w:t>
      </w:r>
      <w:r w:rsidR="00423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Esmeraldas (</w:t>
      </w:r>
      <w:r w:rsidR="00423376" w:rsidRPr="00423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-7,82</w:t>
      </w:r>
      <w:r w:rsidR="00423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Machala (</w:t>
      </w:r>
      <w:r w:rsidR="00423376" w:rsidRPr="00423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-4,38</w:t>
      </w:r>
      <w:r w:rsidR="00423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Quito (</w:t>
      </w:r>
      <w:r w:rsidR="00423376" w:rsidRPr="00423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-1,01</w:t>
      </w:r>
      <w:r w:rsidR="004233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negativa.</w:t>
      </w:r>
    </w:p>
    <w:p w14:paraId="465584A1" w14:textId="77777777" w:rsidR="00A4733B" w:rsidRDefault="00A4733B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22B065F" w14:textId="27A054D6" w:rsidR="00894FC8" w:rsidRDefault="00A4733B" w:rsidP="00894FC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Pechuga de pollo (1,62%)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94FC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94FC8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</w:t>
      </w:r>
      <w:r w:rsidR="00894FC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la ciudad de Quito (</w:t>
      </w:r>
      <w:r w:rsidR="00894FC8" w:rsidRPr="00894FC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6,95</w:t>
      </w:r>
      <w:r w:rsidR="00894FC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Las demás ciudades investigadas no presentan variación de precios.</w:t>
      </w:r>
    </w:p>
    <w:p w14:paraId="3510047D" w14:textId="339B3727" w:rsidR="00AA5139" w:rsidRPr="00AA5139" w:rsidRDefault="00AA5139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negativa fueron:</w:t>
      </w:r>
    </w:p>
    <w:p w14:paraId="1E829849" w14:textId="77777777" w:rsidR="005379A7" w:rsidRPr="00AE6D4D" w:rsidRDefault="005379A7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0D6C2EF3" w14:textId="4D42E776" w:rsidR="0051588C" w:rsidRDefault="0051588C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1588C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 xml:space="preserve">Cebolla </w:t>
      </w:r>
      <w:proofErr w:type="spellStart"/>
      <w:r w:rsidRPr="0051588C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paiteña</w:t>
      </w:r>
      <w:proofErr w:type="spellEnd"/>
      <w:r w:rsidRPr="0051588C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 xml:space="preserve"> colorada (-3,95%)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5220A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220AC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</w:t>
      </w:r>
      <w:r w:rsidR="005220A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algunas de las ciudades investigadas, principalmente en Machala (</w:t>
      </w:r>
      <w:r w:rsidR="005220AC" w:rsidRPr="005220A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-23,57</w:t>
      </w:r>
      <w:r w:rsidR="005220A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Ambato (</w:t>
      </w:r>
      <w:r w:rsidR="005220AC" w:rsidRPr="005220A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-14,50</w:t>
      </w:r>
      <w:r w:rsidR="005220A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Cuenca (-13,82</w:t>
      </w:r>
      <w:r w:rsidR="000B0FA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5220A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).</w:t>
      </w:r>
      <w:r w:rsidR="0082204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Caso contrario sucede en la ciudad de Loja (32,99%) que presenta variación positiva. Las ciudades de Esmeraldas, Manta y Quito no presentan variación de precios.</w:t>
      </w:r>
    </w:p>
    <w:p w14:paraId="032682E8" w14:textId="77777777" w:rsidR="0051588C" w:rsidRDefault="0051588C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D1974C2" w14:textId="74C763F4" w:rsidR="0051588C" w:rsidRDefault="0051588C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1588C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Tomate riñón (-3,45%)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CA743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A743B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</w:t>
      </w:r>
      <w:r w:rsidR="00CA743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algunas de las ciudades investigadas, principalmente en Ambato (</w:t>
      </w:r>
      <w:r w:rsidR="00CA743B" w:rsidRPr="00CA743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-20,63</w:t>
      </w:r>
      <w:r w:rsidR="00CA743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Manta (</w:t>
      </w:r>
      <w:r w:rsidR="00CA743B" w:rsidRPr="00CA743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-12,64</w:t>
      </w:r>
      <w:r w:rsidR="00CA743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Santo Domingo (</w:t>
      </w:r>
      <w:r w:rsidR="00CA743B" w:rsidRPr="00CA743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-10,61</w:t>
      </w:r>
      <w:r w:rsidR="00CA743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  <w:r w:rsidR="00D66DA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Caso contrario sucede en las ciudades de Loja (</w:t>
      </w:r>
      <w:r w:rsidR="00D66DAF" w:rsidRPr="00D66DA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16,04</w:t>
      </w:r>
      <w:r w:rsidR="00D66DA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="00D66DAF" w:rsidRPr="00D66DA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3,09</w:t>
      </w:r>
      <w:r w:rsidR="00D66DA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positiva. La ciudad de Machala no presenta variación de precios.</w:t>
      </w:r>
    </w:p>
    <w:p w14:paraId="5F2765B0" w14:textId="77777777" w:rsidR="0051588C" w:rsidRDefault="0051588C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63C0A9F" w14:textId="106BCA8E" w:rsidR="0051588C" w:rsidRDefault="0051588C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51588C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Huevos de gallina (-1,57%)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03100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Presenta disminución de precios las ciudades de Guayaquil (</w:t>
      </w:r>
      <w:r w:rsidR="0003100F" w:rsidRPr="0003100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-4,88</w:t>
      </w:r>
      <w:r w:rsidR="0003100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Manta (</w:t>
      </w:r>
      <w:r w:rsidR="0003100F" w:rsidRPr="0003100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-0,93</w:t>
      </w:r>
      <w:r w:rsidR="0003100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 ciudad de Santo Domingo (</w:t>
      </w:r>
      <w:r w:rsidR="0003100F" w:rsidRPr="0003100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3,51</w:t>
      </w:r>
      <w:r w:rsidR="0003100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 variación positiva. Las demás ciudades investigadas no presentan variación de precios.</w:t>
      </w:r>
    </w:p>
    <w:p w14:paraId="57BBD7D7" w14:textId="77777777" w:rsidR="0051588C" w:rsidRDefault="0051588C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sectPr w:rsidR="0051588C" w:rsidSect="004C77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E2DBD" w14:textId="77777777" w:rsidR="005D1206" w:rsidRDefault="005D1206" w:rsidP="0007659A">
      <w:r>
        <w:separator/>
      </w:r>
    </w:p>
  </w:endnote>
  <w:endnote w:type="continuationSeparator" w:id="0">
    <w:p w14:paraId="390C3D84" w14:textId="77777777" w:rsidR="005D1206" w:rsidRDefault="005D1206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C2D4E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D66DAF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30BEA741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774" w:rsidRPr="00126774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CE89DB" w14:textId="77777777" w:rsidR="005D1206" w:rsidRDefault="005D1206" w:rsidP="0007659A">
      <w:r>
        <w:separator/>
      </w:r>
    </w:p>
  </w:footnote>
  <w:footnote w:type="continuationSeparator" w:id="0">
    <w:p w14:paraId="34BD6940" w14:textId="77777777" w:rsidR="005D1206" w:rsidRDefault="005D1206" w:rsidP="0007659A">
      <w:r>
        <w:continuationSeparator/>
      </w:r>
    </w:p>
  </w:footnote>
  <w:footnote w:id="1">
    <w:p w14:paraId="5D60856B" w14:textId="5269DE45" w:rsidR="00DB4034" w:rsidRPr="00AE6D4D" w:rsidRDefault="00DB4034">
      <w:pPr>
        <w:pStyle w:val="Textonotapie"/>
        <w:rPr>
          <w:rFonts w:ascii="Century Gothic" w:hAnsi="Century Gothic"/>
          <w:color w:val="505A64"/>
          <w:sz w:val="14"/>
          <w:szCs w:val="14"/>
          <w:lang w:val="es-MX"/>
        </w:rPr>
      </w:pPr>
      <w:r w:rsidRPr="00AE6D4D">
        <w:rPr>
          <w:rStyle w:val="Refdenotaalpie"/>
          <w:rFonts w:ascii="Century Gothic" w:hAnsi="Century Gothic"/>
          <w:color w:val="505A64"/>
          <w:sz w:val="14"/>
          <w:szCs w:val="14"/>
        </w:rPr>
        <w:footnoteRef/>
      </w:r>
      <w:r w:rsidRPr="00AE6D4D">
        <w:rPr>
          <w:rFonts w:ascii="Century Gothic" w:hAnsi="Century Gothic"/>
          <w:color w:val="505A64"/>
          <w:sz w:val="14"/>
          <w:szCs w:val="14"/>
        </w:rPr>
        <w:t xml:space="preserve"> </w:t>
      </w:r>
      <w:r w:rsidRPr="00AE6D4D">
        <w:rPr>
          <w:rFonts w:ascii="Century Gothic" w:eastAsia="Century Gothic" w:hAnsi="Century Gothic" w:cs="Calibri"/>
          <w:color w:val="505A64"/>
          <w:sz w:val="14"/>
          <w:szCs w:val="14"/>
          <w:lang w:eastAsia="es-ES" w:bidi="es-ES"/>
        </w:rPr>
        <w:t>El análisis corresponde a 17 artículos seleccionados de los 58 con periodicidad quincenal</w:t>
      </w:r>
      <w:r w:rsidRPr="00AE6D4D">
        <w:rPr>
          <w:rFonts w:ascii="Century Gothic" w:hAnsi="Century Gothic" w:cs="Calibri"/>
          <w:color w:val="505A64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2277C"/>
    <w:rsid w:val="0003100F"/>
    <w:rsid w:val="0003137E"/>
    <w:rsid w:val="00037A07"/>
    <w:rsid w:val="00037FCD"/>
    <w:rsid w:val="000618D5"/>
    <w:rsid w:val="00070836"/>
    <w:rsid w:val="0007659A"/>
    <w:rsid w:val="00084376"/>
    <w:rsid w:val="0009564D"/>
    <w:rsid w:val="000A0C79"/>
    <w:rsid w:val="000A5171"/>
    <w:rsid w:val="000B0FAC"/>
    <w:rsid w:val="000B44C5"/>
    <w:rsid w:val="000C2B5E"/>
    <w:rsid w:val="000C358E"/>
    <w:rsid w:val="000C53D9"/>
    <w:rsid w:val="000D3805"/>
    <w:rsid w:val="000E3D22"/>
    <w:rsid w:val="000E7D18"/>
    <w:rsid w:val="000F0D56"/>
    <w:rsid w:val="00110509"/>
    <w:rsid w:val="00122072"/>
    <w:rsid w:val="00125966"/>
    <w:rsid w:val="00126774"/>
    <w:rsid w:val="00144E4C"/>
    <w:rsid w:val="00156C83"/>
    <w:rsid w:val="0016047C"/>
    <w:rsid w:val="00162808"/>
    <w:rsid w:val="00183790"/>
    <w:rsid w:val="001A1EEA"/>
    <w:rsid w:val="001B0E68"/>
    <w:rsid w:val="001B4DA0"/>
    <w:rsid w:val="001C45A7"/>
    <w:rsid w:val="001E2A50"/>
    <w:rsid w:val="00203B72"/>
    <w:rsid w:val="00213A3F"/>
    <w:rsid w:val="002169E1"/>
    <w:rsid w:val="00216C86"/>
    <w:rsid w:val="00217B84"/>
    <w:rsid w:val="002325F1"/>
    <w:rsid w:val="00247C1D"/>
    <w:rsid w:val="00254172"/>
    <w:rsid w:val="00257A05"/>
    <w:rsid w:val="00264F79"/>
    <w:rsid w:val="0026765D"/>
    <w:rsid w:val="00270E6F"/>
    <w:rsid w:val="002A6400"/>
    <w:rsid w:val="002A780B"/>
    <w:rsid w:val="002D2F1E"/>
    <w:rsid w:val="002E4199"/>
    <w:rsid w:val="00311E94"/>
    <w:rsid w:val="00320184"/>
    <w:rsid w:val="0032636C"/>
    <w:rsid w:val="00331AEB"/>
    <w:rsid w:val="00334471"/>
    <w:rsid w:val="003348FA"/>
    <w:rsid w:val="00344520"/>
    <w:rsid w:val="00354F5F"/>
    <w:rsid w:val="00360585"/>
    <w:rsid w:val="003613AE"/>
    <w:rsid w:val="00383894"/>
    <w:rsid w:val="0038646C"/>
    <w:rsid w:val="003917C2"/>
    <w:rsid w:val="00396919"/>
    <w:rsid w:val="003A3D24"/>
    <w:rsid w:val="003B4760"/>
    <w:rsid w:val="003D1EA1"/>
    <w:rsid w:val="003D5FCC"/>
    <w:rsid w:val="003F35EB"/>
    <w:rsid w:val="00423376"/>
    <w:rsid w:val="00424501"/>
    <w:rsid w:val="00425609"/>
    <w:rsid w:val="004407CD"/>
    <w:rsid w:val="00452A5E"/>
    <w:rsid w:val="0047148A"/>
    <w:rsid w:val="004A1F61"/>
    <w:rsid w:val="004C67E8"/>
    <w:rsid w:val="004C71B5"/>
    <w:rsid w:val="004C7717"/>
    <w:rsid w:val="004F27D9"/>
    <w:rsid w:val="0050510A"/>
    <w:rsid w:val="0051588C"/>
    <w:rsid w:val="005220AC"/>
    <w:rsid w:val="005379A7"/>
    <w:rsid w:val="00551058"/>
    <w:rsid w:val="005534F9"/>
    <w:rsid w:val="00560522"/>
    <w:rsid w:val="00566F3E"/>
    <w:rsid w:val="0058031B"/>
    <w:rsid w:val="005857AF"/>
    <w:rsid w:val="005A4E64"/>
    <w:rsid w:val="005B5BEB"/>
    <w:rsid w:val="005C23E6"/>
    <w:rsid w:val="005C4F02"/>
    <w:rsid w:val="005C5954"/>
    <w:rsid w:val="005C612B"/>
    <w:rsid w:val="005D1206"/>
    <w:rsid w:val="00606BCB"/>
    <w:rsid w:val="006079CC"/>
    <w:rsid w:val="00641AF8"/>
    <w:rsid w:val="00654E2E"/>
    <w:rsid w:val="006603F3"/>
    <w:rsid w:val="00693013"/>
    <w:rsid w:val="00697E55"/>
    <w:rsid w:val="006B0A37"/>
    <w:rsid w:val="006B3FB3"/>
    <w:rsid w:val="006C0004"/>
    <w:rsid w:val="006E3468"/>
    <w:rsid w:val="006F0164"/>
    <w:rsid w:val="006F3310"/>
    <w:rsid w:val="0071159C"/>
    <w:rsid w:val="007170FA"/>
    <w:rsid w:val="00727C57"/>
    <w:rsid w:val="00733499"/>
    <w:rsid w:val="00747207"/>
    <w:rsid w:val="0075269F"/>
    <w:rsid w:val="007553BF"/>
    <w:rsid w:val="007627DF"/>
    <w:rsid w:val="00773A8F"/>
    <w:rsid w:val="00777D78"/>
    <w:rsid w:val="0078414B"/>
    <w:rsid w:val="007A3155"/>
    <w:rsid w:val="007A36E4"/>
    <w:rsid w:val="007C4192"/>
    <w:rsid w:val="007C4B27"/>
    <w:rsid w:val="007D2B44"/>
    <w:rsid w:val="007E50D5"/>
    <w:rsid w:val="00802104"/>
    <w:rsid w:val="00804372"/>
    <w:rsid w:val="00806ECE"/>
    <w:rsid w:val="00810074"/>
    <w:rsid w:val="0082204C"/>
    <w:rsid w:val="00822657"/>
    <w:rsid w:val="00822EF4"/>
    <w:rsid w:val="00823820"/>
    <w:rsid w:val="00831DCC"/>
    <w:rsid w:val="00852EF4"/>
    <w:rsid w:val="00855020"/>
    <w:rsid w:val="00873AAD"/>
    <w:rsid w:val="00874413"/>
    <w:rsid w:val="008801ED"/>
    <w:rsid w:val="00894FC8"/>
    <w:rsid w:val="008A355E"/>
    <w:rsid w:val="008C18FE"/>
    <w:rsid w:val="008C6190"/>
    <w:rsid w:val="008C7129"/>
    <w:rsid w:val="008D096F"/>
    <w:rsid w:val="008D2097"/>
    <w:rsid w:val="008E6E42"/>
    <w:rsid w:val="00900C7F"/>
    <w:rsid w:val="00923EC6"/>
    <w:rsid w:val="00926ACF"/>
    <w:rsid w:val="009479EC"/>
    <w:rsid w:val="009611ED"/>
    <w:rsid w:val="00961632"/>
    <w:rsid w:val="00987A12"/>
    <w:rsid w:val="00993360"/>
    <w:rsid w:val="00994381"/>
    <w:rsid w:val="00994B99"/>
    <w:rsid w:val="009D6D05"/>
    <w:rsid w:val="00A014AE"/>
    <w:rsid w:val="00A03F76"/>
    <w:rsid w:val="00A2644B"/>
    <w:rsid w:val="00A43CFD"/>
    <w:rsid w:val="00A4733B"/>
    <w:rsid w:val="00A524D3"/>
    <w:rsid w:val="00AA5139"/>
    <w:rsid w:val="00AA7925"/>
    <w:rsid w:val="00AA7C9D"/>
    <w:rsid w:val="00AE6D4D"/>
    <w:rsid w:val="00AE754A"/>
    <w:rsid w:val="00B048F2"/>
    <w:rsid w:val="00B0745E"/>
    <w:rsid w:val="00B17B43"/>
    <w:rsid w:val="00B20B23"/>
    <w:rsid w:val="00B31B60"/>
    <w:rsid w:val="00B3545C"/>
    <w:rsid w:val="00B5170C"/>
    <w:rsid w:val="00B810C2"/>
    <w:rsid w:val="00B9085F"/>
    <w:rsid w:val="00B92C12"/>
    <w:rsid w:val="00BA6AF9"/>
    <w:rsid w:val="00BB3788"/>
    <w:rsid w:val="00BC2622"/>
    <w:rsid w:val="00BC35A5"/>
    <w:rsid w:val="00BD6C05"/>
    <w:rsid w:val="00BE0A4F"/>
    <w:rsid w:val="00BE0F56"/>
    <w:rsid w:val="00C14759"/>
    <w:rsid w:val="00C15CF6"/>
    <w:rsid w:val="00C203A8"/>
    <w:rsid w:val="00C5552B"/>
    <w:rsid w:val="00C7423A"/>
    <w:rsid w:val="00C77A40"/>
    <w:rsid w:val="00C9322A"/>
    <w:rsid w:val="00C94FBA"/>
    <w:rsid w:val="00CA1270"/>
    <w:rsid w:val="00CA3E1D"/>
    <w:rsid w:val="00CA743B"/>
    <w:rsid w:val="00CA7DC9"/>
    <w:rsid w:val="00CB10D4"/>
    <w:rsid w:val="00CB28D2"/>
    <w:rsid w:val="00CB3D7D"/>
    <w:rsid w:val="00CE0311"/>
    <w:rsid w:val="00CE3961"/>
    <w:rsid w:val="00D107CE"/>
    <w:rsid w:val="00D362DF"/>
    <w:rsid w:val="00D451C3"/>
    <w:rsid w:val="00D46236"/>
    <w:rsid w:val="00D660FB"/>
    <w:rsid w:val="00D66DAF"/>
    <w:rsid w:val="00D70E6F"/>
    <w:rsid w:val="00D84884"/>
    <w:rsid w:val="00D92B3A"/>
    <w:rsid w:val="00DB4034"/>
    <w:rsid w:val="00DB7802"/>
    <w:rsid w:val="00DC0328"/>
    <w:rsid w:val="00DE5965"/>
    <w:rsid w:val="00DE7A98"/>
    <w:rsid w:val="00E12073"/>
    <w:rsid w:val="00E43367"/>
    <w:rsid w:val="00E55296"/>
    <w:rsid w:val="00E66E77"/>
    <w:rsid w:val="00E676B4"/>
    <w:rsid w:val="00E92889"/>
    <w:rsid w:val="00EB784E"/>
    <w:rsid w:val="00EC712A"/>
    <w:rsid w:val="00EF0211"/>
    <w:rsid w:val="00EF7F12"/>
    <w:rsid w:val="00F10627"/>
    <w:rsid w:val="00F413F4"/>
    <w:rsid w:val="00F52E23"/>
    <w:rsid w:val="00F54DA4"/>
    <w:rsid w:val="00F6750D"/>
    <w:rsid w:val="00F91776"/>
    <w:rsid w:val="00F97703"/>
    <w:rsid w:val="00FA27B0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FC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B3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CAAA87-592D-47FC-8128-9FCAEFBBD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346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Susan Rodriguez</cp:lastModifiedBy>
  <cp:revision>170</cp:revision>
  <dcterms:created xsi:type="dcterms:W3CDTF">2021-06-16T14:59:00Z</dcterms:created>
  <dcterms:modified xsi:type="dcterms:W3CDTF">2024-05-13T18:57:00Z</dcterms:modified>
</cp:coreProperties>
</file>