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6EE5A33A" w:rsidR="0007659A" w:rsidRPr="00D158AB" w:rsidRDefault="00BA5D88" w:rsidP="005B5BEB">
      <w:pPr>
        <w:jc w:val="center"/>
        <w:rPr>
          <w:rFonts w:ascii="Century Gothic" w:hAnsi="Century Gothic"/>
          <w:b/>
          <w:bCs/>
          <w:color w:val="505A64"/>
          <w:sz w:val="27"/>
          <w:szCs w:val="27"/>
        </w:rPr>
      </w:pP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Informe Cualitativo de la </w:t>
      </w:r>
      <w:r w:rsidR="004F5A1C">
        <w:rPr>
          <w:rFonts w:ascii="Century Gothic" w:hAnsi="Century Gothic"/>
          <w:b/>
          <w:bCs/>
          <w:color w:val="505A64"/>
          <w:sz w:val="27"/>
          <w:szCs w:val="27"/>
        </w:rPr>
        <w:t>Segunda</w:t>
      </w:r>
      <w:r w:rsidR="004F5A1C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Quincena de </w:t>
      </w:r>
      <w:r w:rsidR="00A53F98">
        <w:rPr>
          <w:rFonts w:ascii="Century Gothic" w:hAnsi="Century Gothic"/>
          <w:b/>
          <w:bCs/>
          <w:color w:val="505A64"/>
          <w:sz w:val="27"/>
          <w:szCs w:val="27"/>
        </w:rPr>
        <w:t>Jul</w:t>
      </w:r>
      <w:r w:rsidR="009D6292">
        <w:rPr>
          <w:rFonts w:ascii="Century Gothic" w:hAnsi="Century Gothic"/>
          <w:b/>
          <w:bCs/>
          <w:color w:val="505A64"/>
          <w:sz w:val="27"/>
          <w:szCs w:val="27"/>
        </w:rPr>
        <w:t>io</w:t>
      </w:r>
      <w:r w:rsidR="009D6292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>de 2024</w:t>
      </w:r>
    </w:p>
    <w:p w14:paraId="097691D9" w14:textId="6988BA79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41550BC" w14:textId="26D13035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77777777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D78E8B0" w14:textId="60399E67" w:rsidR="004F5A1C" w:rsidRDefault="004F5A1C" w:rsidP="004F5A1C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F5A1C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605F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605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E605F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605FB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 w:rsidR="00E605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605FB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E605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605FB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1D7EBE52" w14:textId="77777777" w:rsidR="00E605FB" w:rsidRPr="004F5A1C" w:rsidRDefault="00E605FB" w:rsidP="004F5A1C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2837544" w14:textId="7D15E0F2" w:rsidR="004F5A1C" w:rsidRPr="00286562" w:rsidRDefault="004F5A1C" w:rsidP="004F5A1C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F5A1C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8656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8656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</w:t>
      </w:r>
      <w:r w:rsidR="00286562" w:rsidRPr="0028656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ncrementa de precio</w:t>
      </w:r>
      <w:r w:rsidR="009D39A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28656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8656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artículo pres</w:t>
      </w:r>
      <w:r w:rsidR="00051CB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enta escasez debido a</w:t>
      </w:r>
      <w:r w:rsidR="002E761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</w:t>
      </w:r>
      <w:r w:rsidR="00051CB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fuerte oleaje en la zona costera ecuatoriana, esto provoca que disminuyan las faenas de pesca.</w:t>
      </w:r>
    </w:p>
    <w:p w14:paraId="500063DD" w14:textId="77777777" w:rsidR="00FE61EB" w:rsidRPr="004F5A1C" w:rsidRDefault="00FE61EB" w:rsidP="004F5A1C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8367690" w14:textId="0AC0A16F" w:rsidR="004F5A1C" w:rsidRDefault="004F5A1C" w:rsidP="004F5A1C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4F5A1C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051CBE">
        <w:t xml:space="preserve"> </w:t>
      </w:r>
      <w:r w:rsidR="00051CB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Sube de precio </w:t>
      </w:r>
      <w:r w:rsidR="004839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las ciudades de Quito y Manta, </w:t>
      </w:r>
      <w:r w:rsidR="00051CB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artículo presenta </w:t>
      </w:r>
      <w:r w:rsid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escasez debido al temporal climático </w:t>
      </w:r>
      <w:r w:rsidR="00051CB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 región Sierra que afecta a la producción.</w:t>
      </w:r>
    </w:p>
    <w:p w14:paraId="3A03E8FB" w14:textId="77777777" w:rsidR="00FE61EB" w:rsidRPr="004F5A1C" w:rsidRDefault="00FE61EB" w:rsidP="004F5A1C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4E330A6" w14:textId="6B7EDA09" w:rsidR="00E605FB" w:rsidRDefault="004F5A1C" w:rsidP="00E605F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F5A1C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605FB" w:rsidRPr="00E605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605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E605F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605FB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 w:rsidR="00E605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605FB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E605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605FB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3C6F4961" w14:textId="5BA65F61" w:rsidR="004F5A1C" w:rsidRPr="004F5A1C" w:rsidRDefault="004F5A1C" w:rsidP="004F5A1C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42CA4BD" w14:textId="77777777" w:rsidR="00E605FB" w:rsidRDefault="004F5A1C" w:rsidP="00E605F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F5A1C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605F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605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E605F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605FB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 w:rsidR="00E605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605FB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E605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605FB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145EEAA1" w14:textId="6D7F354C" w:rsidR="004F5A1C" w:rsidRPr="004F5A1C" w:rsidRDefault="004F5A1C" w:rsidP="004F5A1C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85BD48B" w14:textId="65B31641" w:rsidR="004F5A1C" w:rsidRDefault="004F5A1C" w:rsidP="004F5A1C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F5A1C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8394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839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 de precio en las ciudades de Santo Do</w:t>
      </w:r>
      <w:r w:rsid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mingo y Quito, </w:t>
      </w:r>
      <w:r w:rsidR="002B2F6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donde se </w:t>
      </w:r>
      <w:r w:rsid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</w:t>
      </w:r>
      <w:r w:rsidR="008D7BD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senta escasez</w:t>
      </w:r>
      <w:r w:rsidR="009146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del artículo debido a l</w:t>
      </w:r>
      <w:r w:rsidR="00255FF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2200A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 </w:t>
      </w:r>
      <w:r w:rsidR="00255FF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variaciones</w:t>
      </w:r>
      <w:r w:rsidR="002200A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146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climátic</w:t>
      </w:r>
      <w:r w:rsidR="00255FF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9146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86B87" w:rsidRPr="004839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región </w:t>
      </w:r>
      <w:r w:rsid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786B87" w:rsidRPr="004839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ierra que afecta</w:t>
      </w:r>
      <w:r w:rsidR="002200A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</w:t>
      </w:r>
      <w:r w:rsidR="00786B87" w:rsidRPr="004839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los cultivos</w:t>
      </w:r>
      <w:r w:rsid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DD1A275" w14:textId="77777777" w:rsidR="00786B87" w:rsidRPr="0048394E" w:rsidRDefault="00786B87" w:rsidP="004F5A1C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5F598DD" w14:textId="6093405E" w:rsidR="004F5A1C" w:rsidRDefault="004F5A1C" w:rsidP="004F5A1C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F5A1C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786B8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Sube de precio en las ciudades de Quito y Manta, </w:t>
      </w:r>
      <w:r w:rsidR="00786B87" w:rsidRP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existe escasez del </w:t>
      </w:r>
      <w:r w:rsid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artículo</w:t>
      </w:r>
      <w:r w:rsidR="00786B87" w:rsidRP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variación del clima en la región</w:t>
      </w:r>
      <w:r w:rsid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S</w:t>
      </w:r>
      <w:r w:rsidR="00786B87" w:rsidRP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ierra que afecta la producción</w:t>
      </w:r>
      <w:r w:rsidR="009146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avícola.</w:t>
      </w:r>
    </w:p>
    <w:p w14:paraId="142A5660" w14:textId="77777777" w:rsidR="00786B87" w:rsidRPr="004F5A1C" w:rsidRDefault="00786B87" w:rsidP="004F5A1C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ACE1A16" w14:textId="0EA9A80D" w:rsidR="00786B87" w:rsidRDefault="004F5A1C" w:rsidP="00786B8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F5A1C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786B8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Incrementa de precio en las ciudades de Machala y Quito, </w:t>
      </w:r>
      <w:r w:rsidR="00786B87" w:rsidRP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existe escasez del </w:t>
      </w:r>
      <w:r w:rsid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artículo</w:t>
      </w:r>
      <w:r w:rsidR="00786B87" w:rsidRP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variación del clima en la región</w:t>
      </w:r>
      <w:r w:rsid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S</w:t>
      </w:r>
      <w:r w:rsidR="00786B87" w:rsidRP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ierra que afecta la producción</w:t>
      </w:r>
      <w:r w:rsidR="009A636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avícola</w:t>
      </w:r>
      <w:r w:rsid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. Además, sube de precio como efecto indirecto por el </w:t>
      </w:r>
      <w:r w:rsidR="00786B87" w:rsidRPr="00765F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alza de la gasolina de bajo octanaje</w:t>
      </w:r>
      <w:r w:rsid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ya que incrementan los </w:t>
      </w:r>
      <w:r w:rsidR="00786B87" w:rsidRPr="00765F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costos de</w:t>
      </w:r>
      <w:r w:rsid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los</w:t>
      </w:r>
      <w:r w:rsidR="00786B87" w:rsidRPr="00765F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fletes</w:t>
      </w:r>
      <w:r w:rsid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09F60AE3" w14:textId="5F38A2E5" w:rsidR="004F5A1C" w:rsidRPr="004F5A1C" w:rsidRDefault="004F5A1C" w:rsidP="004F5A1C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F0C6D92" w14:textId="6BE1DA0A" w:rsidR="004F5A1C" w:rsidRDefault="004F5A1C" w:rsidP="004F5A1C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F5A1C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225F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225F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 de precio en la ciudad de Esmera</w:t>
      </w:r>
      <w:r w:rsidR="00255FF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ldas, artículo presenta escasez</w:t>
      </w:r>
      <w:r w:rsidR="003225F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que ha disminuido la producción.</w:t>
      </w:r>
    </w:p>
    <w:p w14:paraId="5DB93CB8" w14:textId="77777777" w:rsidR="003225F2" w:rsidRPr="004F5A1C" w:rsidRDefault="003225F2" w:rsidP="004F5A1C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0CD7774" w14:textId="1CCBBEE5" w:rsidR="004F5A1C" w:rsidRDefault="004F5A1C" w:rsidP="004F5A1C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4F5A1C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225F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225F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Incrementa de precio debido a que existe </w:t>
      </w:r>
      <w:r w:rsidR="003225F2" w:rsidRPr="00765F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escasez del </w:t>
      </w:r>
      <w:r w:rsidR="003225F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artículo en algunas zonas de la Sierra Centro</w:t>
      </w:r>
      <w:r w:rsidR="00255FF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debido a las variaciones climáticas</w:t>
      </w:r>
      <w:r w:rsidR="003225F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afecta a los cultivos. Además, sube de precio como efecto indirecto por el </w:t>
      </w:r>
      <w:r w:rsidR="003225F2" w:rsidRPr="00765F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alza de la gasolina de bajo octanaje</w:t>
      </w:r>
      <w:r w:rsidR="003225F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ya que incrementan los </w:t>
      </w:r>
      <w:r w:rsidR="003225F2" w:rsidRPr="00765F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costos de</w:t>
      </w:r>
      <w:r w:rsidR="003225F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los</w:t>
      </w:r>
      <w:r w:rsidR="003225F2" w:rsidRPr="00765F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fletes</w:t>
      </w:r>
      <w:r w:rsidR="003225F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4A2E0C17" w14:textId="77777777" w:rsidR="00D40D38" w:rsidRDefault="00D40D38" w:rsidP="009563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5F4BF71" w14:textId="77777777" w:rsidR="00C94A42" w:rsidRDefault="00C94A42" w:rsidP="009563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961588C" w14:textId="77777777" w:rsidR="00C94A42" w:rsidRDefault="00C94A42" w:rsidP="009563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68ECE7F" w14:textId="77777777" w:rsidR="00C94A42" w:rsidRDefault="00C94A42" w:rsidP="009563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086815BB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6FD91380" w14:textId="0310847D" w:rsidR="00C94A42" w:rsidRDefault="00C94A42" w:rsidP="00C94A4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94A4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E41F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E41F1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Baja de precio,</w:t>
      </w:r>
      <w:r w:rsidR="004C46DB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el</w:t>
      </w:r>
      <w:r w:rsidR="006E41F1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artículo presenta buen abastecimiento </w:t>
      </w:r>
      <w:r w:rsidR="006E41F1" w:rsidRP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</w:t>
      </w:r>
      <w:r w:rsidR="00E12E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las </w:t>
      </w:r>
      <w:r w:rsidR="006E41F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mejoras en la producción</w:t>
      </w:r>
      <w:r w:rsidR="00E12E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 Sierra Centro</w:t>
      </w:r>
      <w:bookmarkStart w:id="0" w:name="_GoBack"/>
      <w:bookmarkEnd w:id="0"/>
      <w:r w:rsidR="006E41F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 por e</w:t>
      </w:r>
      <w:r w:rsidR="006E41F1" w:rsidRP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 ingreso del artículo desde Perú</w:t>
      </w:r>
      <w:r w:rsidR="006E41F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E41F1" w:rsidRP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al mercado nacional.</w:t>
      </w:r>
    </w:p>
    <w:p w14:paraId="4423781B" w14:textId="77777777" w:rsidR="006E41F1" w:rsidRDefault="006E41F1" w:rsidP="00C94A4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D0C98C1" w14:textId="50C3ACEB" w:rsidR="00C94A42" w:rsidRDefault="00C94A42" w:rsidP="00C94A4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94A4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E41F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E41F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6E41F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6E41F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6E41F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6E41F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6E41F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6E41F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6E41F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7DCDA5C8" w14:textId="77777777" w:rsidR="006E41F1" w:rsidRPr="00C94A42" w:rsidRDefault="006E41F1" w:rsidP="00C94A4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429982D" w14:textId="5085549D" w:rsidR="00C94A42" w:rsidRDefault="00C94A42" w:rsidP="00C94A4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94A4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Arroz flor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50A6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50A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 de precio</w:t>
      </w:r>
      <w:r w:rsidR="00022F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Cuenca, Guayaquil y Santo Domingo,</w:t>
      </w:r>
      <w:r w:rsidR="00150A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50A6B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 nueva</w:t>
      </w:r>
      <w:r w:rsidR="00150A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150A6B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150A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150A6B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</w:t>
      </w:r>
      <w:r w:rsidR="00150A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579873DC" w14:textId="77777777" w:rsidR="00150A6B" w:rsidRPr="00150A6B" w:rsidRDefault="00150A6B" w:rsidP="00C94A4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9834B8D" w14:textId="29520C47" w:rsidR="00C94A42" w:rsidRDefault="00C94A42" w:rsidP="00C94A4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94A4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50A6B" w:rsidRPr="00150A6B">
        <w:t xml:space="preserve"> </w:t>
      </w:r>
      <w:r w:rsidR="00150A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 en las ciudades de Ambato y Manta, debido a</w:t>
      </w:r>
      <w:r w:rsidR="00150A6B" w:rsidRPr="00150A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</w:t>
      </w:r>
      <w:r w:rsidR="00150A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mejora de la </w:t>
      </w:r>
      <w:r w:rsidR="005E16AE" w:rsidRPr="00150A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producción</w:t>
      </w:r>
      <w:r w:rsidR="005E16A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 inicio de la zafra.</w:t>
      </w:r>
    </w:p>
    <w:p w14:paraId="163A701E" w14:textId="77777777" w:rsidR="005E16AE" w:rsidRPr="00C94A42" w:rsidRDefault="005E16AE" w:rsidP="00C94A4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ECA9638" w14:textId="73164A15" w:rsidR="00C94A42" w:rsidRDefault="00C94A42" w:rsidP="00C94A4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94A4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5E16A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E16A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 de precio en la ciudad de Guayaquil, por nuevas listas de precios desde los proveedores.</w:t>
      </w:r>
    </w:p>
    <w:p w14:paraId="1B7BAFDC" w14:textId="77777777" w:rsidR="005E16AE" w:rsidRPr="005E16AE" w:rsidRDefault="005E16AE" w:rsidP="00C94A4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3456B63" w14:textId="35F95091" w:rsidR="00C94A42" w:rsidRDefault="00C94A42" w:rsidP="00C94A4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C94A4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Costilla de res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5E16A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E16A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 en la ciudad de Cuenca, por nuevas listas de precios desde los proveedores.</w:t>
      </w:r>
    </w:p>
    <w:p w14:paraId="7F90AE3D" w14:textId="77777777" w:rsidR="00912BB8" w:rsidRDefault="00912BB8" w:rsidP="00912BB8">
      <w:pPr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</w:p>
    <w:p w14:paraId="1DFD6045" w14:textId="06E635C6" w:rsidR="00EA35BC" w:rsidRPr="00EA35BC" w:rsidRDefault="00EA35BC" w:rsidP="00912BB8">
      <w:pPr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En esta quincena, no presenta variación de precios </w:t>
      </w:r>
      <w:r w:rsidR="005E16AE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el artículo</w:t>
      </w: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65F1D"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Pan corriente de trigo</w:t>
      </w:r>
      <w:r w:rsidR="00920ED3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1C3A125" w14:textId="77777777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38C054B4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4C46D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segunda</w:t>
      </w:r>
      <w:r w:rsidR="00BB7D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quincena de </w:t>
      </w:r>
      <w:r w:rsidR="00BB7D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ju</w:t>
      </w:r>
      <w:r w:rsidR="009678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</w:t>
      </w:r>
      <w:r w:rsidR="00BB7D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io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2024, las causas generales;</w:t>
      </w:r>
      <w:r w:rsidR="002E2F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producción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5563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distribución;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55F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</w:t>
      </w:r>
      <w:r w:rsidR="00317B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comercialización, constituyen los principales motivos que generaron variación en los artículos consultados, según información recabada a los comerciantes.</w:t>
      </w:r>
    </w:p>
    <w:sectPr w:rsidR="0007659A" w:rsidRPr="00642EFF" w:rsidSect="00B756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CC18E" w14:textId="77777777" w:rsidR="00555373" w:rsidRDefault="00555373" w:rsidP="0007659A">
      <w:r>
        <w:separator/>
      </w:r>
    </w:p>
  </w:endnote>
  <w:endnote w:type="continuationSeparator" w:id="0">
    <w:p w14:paraId="6A8313FA" w14:textId="77777777" w:rsidR="00555373" w:rsidRDefault="00555373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354830EA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BA13AA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55B7B110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3AA" w:rsidRPr="00BA13AA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45881" w14:textId="77777777" w:rsidR="00555373" w:rsidRDefault="00555373" w:rsidP="0007659A">
      <w:r>
        <w:separator/>
      </w:r>
    </w:p>
  </w:footnote>
  <w:footnote w:type="continuationSeparator" w:id="0">
    <w:p w14:paraId="61F9C06F" w14:textId="77777777" w:rsidR="00555373" w:rsidRDefault="00555373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0076B"/>
    <w:rsid w:val="000007E5"/>
    <w:rsid w:val="00003A0D"/>
    <w:rsid w:val="00012B7F"/>
    <w:rsid w:val="00022F81"/>
    <w:rsid w:val="000253FC"/>
    <w:rsid w:val="00033CE1"/>
    <w:rsid w:val="00036940"/>
    <w:rsid w:val="000377FF"/>
    <w:rsid w:val="00037B7B"/>
    <w:rsid w:val="000402E5"/>
    <w:rsid w:val="00051CBE"/>
    <w:rsid w:val="000710A4"/>
    <w:rsid w:val="00071256"/>
    <w:rsid w:val="0007133F"/>
    <w:rsid w:val="0007250A"/>
    <w:rsid w:val="0007659A"/>
    <w:rsid w:val="00081882"/>
    <w:rsid w:val="00082A88"/>
    <w:rsid w:val="0009086A"/>
    <w:rsid w:val="000950EE"/>
    <w:rsid w:val="000A0C79"/>
    <w:rsid w:val="000A3A5E"/>
    <w:rsid w:val="000A5171"/>
    <w:rsid w:val="000B06EF"/>
    <w:rsid w:val="000B390D"/>
    <w:rsid w:val="000B44C5"/>
    <w:rsid w:val="000B60D8"/>
    <w:rsid w:val="000B7743"/>
    <w:rsid w:val="000C0280"/>
    <w:rsid w:val="000C603D"/>
    <w:rsid w:val="000D3805"/>
    <w:rsid w:val="000E7D18"/>
    <w:rsid w:val="000F611E"/>
    <w:rsid w:val="000F7408"/>
    <w:rsid w:val="001073C9"/>
    <w:rsid w:val="00110509"/>
    <w:rsid w:val="00112494"/>
    <w:rsid w:val="00112FD1"/>
    <w:rsid w:val="00117491"/>
    <w:rsid w:val="00120A86"/>
    <w:rsid w:val="00122072"/>
    <w:rsid w:val="00124568"/>
    <w:rsid w:val="001266D4"/>
    <w:rsid w:val="00131F8E"/>
    <w:rsid w:val="001404AF"/>
    <w:rsid w:val="00150A6B"/>
    <w:rsid w:val="00163CF4"/>
    <w:rsid w:val="001738E2"/>
    <w:rsid w:val="00174042"/>
    <w:rsid w:val="00174EFD"/>
    <w:rsid w:val="0018427A"/>
    <w:rsid w:val="0019793F"/>
    <w:rsid w:val="001A61CA"/>
    <w:rsid w:val="001A7716"/>
    <w:rsid w:val="001C6AFC"/>
    <w:rsid w:val="001D051A"/>
    <w:rsid w:val="001D13FC"/>
    <w:rsid w:val="001D77CA"/>
    <w:rsid w:val="001E136A"/>
    <w:rsid w:val="001E2A50"/>
    <w:rsid w:val="001E3A20"/>
    <w:rsid w:val="001E41E4"/>
    <w:rsid w:val="001F55F5"/>
    <w:rsid w:val="001F6A5B"/>
    <w:rsid w:val="001F78C4"/>
    <w:rsid w:val="00203B72"/>
    <w:rsid w:val="00204359"/>
    <w:rsid w:val="00204E1C"/>
    <w:rsid w:val="00216C86"/>
    <w:rsid w:val="002200AE"/>
    <w:rsid w:val="00232491"/>
    <w:rsid w:val="002325F1"/>
    <w:rsid w:val="00251790"/>
    <w:rsid w:val="00255FF5"/>
    <w:rsid w:val="0025608F"/>
    <w:rsid w:val="002631C4"/>
    <w:rsid w:val="002715DB"/>
    <w:rsid w:val="002743E3"/>
    <w:rsid w:val="00274F86"/>
    <w:rsid w:val="00280E93"/>
    <w:rsid w:val="002826F4"/>
    <w:rsid w:val="00285999"/>
    <w:rsid w:val="00286562"/>
    <w:rsid w:val="0029258B"/>
    <w:rsid w:val="002B2F6D"/>
    <w:rsid w:val="002C0374"/>
    <w:rsid w:val="002C2B79"/>
    <w:rsid w:val="002E07BB"/>
    <w:rsid w:val="002E2F98"/>
    <w:rsid w:val="002E30CE"/>
    <w:rsid w:val="002E50A8"/>
    <w:rsid w:val="002E7618"/>
    <w:rsid w:val="002F39AC"/>
    <w:rsid w:val="00307700"/>
    <w:rsid w:val="00311E94"/>
    <w:rsid w:val="0031313E"/>
    <w:rsid w:val="003179C5"/>
    <w:rsid w:val="00317BCB"/>
    <w:rsid w:val="003225F2"/>
    <w:rsid w:val="00331AEB"/>
    <w:rsid w:val="0033293A"/>
    <w:rsid w:val="003333D1"/>
    <w:rsid w:val="00335B37"/>
    <w:rsid w:val="00346A52"/>
    <w:rsid w:val="003514C1"/>
    <w:rsid w:val="00354F5F"/>
    <w:rsid w:val="003573D2"/>
    <w:rsid w:val="00367A3A"/>
    <w:rsid w:val="00372639"/>
    <w:rsid w:val="003767E2"/>
    <w:rsid w:val="003A3D24"/>
    <w:rsid w:val="003B4760"/>
    <w:rsid w:val="003C3E43"/>
    <w:rsid w:val="003C4887"/>
    <w:rsid w:val="003D27A6"/>
    <w:rsid w:val="003D3602"/>
    <w:rsid w:val="003E01C7"/>
    <w:rsid w:val="0040410E"/>
    <w:rsid w:val="00404A8B"/>
    <w:rsid w:val="00414D89"/>
    <w:rsid w:val="00425095"/>
    <w:rsid w:val="00431517"/>
    <w:rsid w:val="00433C09"/>
    <w:rsid w:val="00456F16"/>
    <w:rsid w:val="00464C77"/>
    <w:rsid w:val="00466B6E"/>
    <w:rsid w:val="00474018"/>
    <w:rsid w:val="00480BBA"/>
    <w:rsid w:val="00481964"/>
    <w:rsid w:val="00482EC0"/>
    <w:rsid w:val="0048394E"/>
    <w:rsid w:val="00486ED0"/>
    <w:rsid w:val="00492CD2"/>
    <w:rsid w:val="004945F5"/>
    <w:rsid w:val="004A38C2"/>
    <w:rsid w:val="004B13B1"/>
    <w:rsid w:val="004B34AA"/>
    <w:rsid w:val="004C38DB"/>
    <w:rsid w:val="004C46DB"/>
    <w:rsid w:val="004C6D7B"/>
    <w:rsid w:val="004D507F"/>
    <w:rsid w:val="004E54E1"/>
    <w:rsid w:val="004F27D9"/>
    <w:rsid w:val="004F3F72"/>
    <w:rsid w:val="004F5A1C"/>
    <w:rsid w:val="0050406F"/>
    <w:rsid w:val="00513111"/>
    <w:rsid w:val="00516BC5"/>
    <w:rsid w:val="00517D14"/>
    <w:rsid w:val="005379A7"/>
    <w:rsid w:val="0054710B"/>
    <w:rsid w:val="005542C6"/>
    <w:rsid w:val="00555373"/>
    <w:rsid w:val="00556394"/>
    <w:rsid w:val="00560522"/>
    <w:rsid w:val="0058031B"/>
    <w:rsid w:val="00586667"/>
    <w:rsid w:val="005916C0"/>
    <w:rsid w:val="0059520C"/>
    <w:rsid w:val="005A0D71"/>
    <w:rsid w:val="005A4E64"/>
    <w:rsid w:val="005B5BEB"/>
    <w:rsid w:val="005B68E1"/>
    <w:rsid w:val="005C23E6"/>
    <w:rsid w:val="005D66DB"/>
    <w:rsid w:val="005E04CF"/>
    <w:rsid w:val="005E16AE"/>
    <w:rsid w:val="005F37FB"/>
    <w:rsid w:val="005F4822"/>
    <w:rsid w:val="00603DFA"/>
    <w:rsid w:val="00612A0A"/>
    <w:rsid w:val="00622B32"/>
    <w:rsid w:val="0063307D"/>
    <w:rsid w:val="0063657E"/>
    <w:rsid w:val="00640CB2"/>
    <w:rsid w:val="00642898"/>
    <w:rsid w:val="00642EFF"/>
    <w:rsid w:val="006475B5"/>
    <w:rsid w:val="00647734"/>
    <w:rsid w:val="00652506"/>
    <w:rsid w:val="00661534"/>
    <w:rsid w:val="00661692"/>
    <w:rsid w:val="00674C3A"/>
    <w:rsid w:val="006752A6"/>
    <w:rsid w:val="0068363B"/>
    <w:rsid w:val="00683EFB"/>
    <w:rsid w:val="00684379"/>
    <w:rsid w:val="0069101A"/>
    <w:rsid w:val="00691989"/>
    <w:rsid w:val="0069593C"/>
    <w:rsid w:val="006A17A0"/>
    <w:rsid w:val="006B3FB3"/>
    <w:rsid w:val="006C066A"/>
    <w:rsid w:val="006C5C45"/>
    <w:rsid w:val="006E1A65"/>
    <w:rsid w:val="006E41F1"/>
    <w:rsid w:val="006E6CBB"/>
    <w:rsid w:val="006F0EC1"/>
    <w:rsid w:val="006F6CC8"/>
    <w:rsid w:val="00702244"/>
    <w:rsid w:val="0071159C"/>
    <w:rsid w:val="00720B7B"/>
    <w:rsid w:val="00720C24"/>
    <w:rsid w:val="00724197"/>
    <w:rsid w:val="0073285D"/>
    <w:rsid w:val="00732D8A"/>
    <w:rsid w:val="00732F36"/>
    <w:rsid w:val="00735F9A"/>
    <w:rsid w:val="0074257A"/>
    <w:rsid w:val="00743824"/>
    <w:rsid w:val="00743925"/>
    <w:rsid w:val="007555A8"/>
    <w:rsid w:val="007627DF"/>
    <w:rsid w:val="00762D26"/>
    <w:rsid w:val="00765F1D"/>
    <w:rsid w:val="00782089"/>
    <w:rsid w:val="00786B87"/>
    <w:rsid w:val="007932AD"/>
    <w:rsid w:val="00794114"/>
    <w:rsid w:val="0079666C"/>
    <w:rsid w:val="007A2C33"/>
    <w:rsid w:val="007B61D0"/>
    <w:rsid w:val="007C0FB2"/>
    <w:rsid w:val="007C72B6"/>
    <w:rsid w:val="007D2B44"/>
    <w:rsid w:val="007D7A5E"/>
    <w:rsid w:val="007F1EB0"/>
    <w:rsid w:val="0080205E"/>
    <w:rsid w:val="00810207"/>
    <w:rsid w:val="00811A22"/>
    <w:rsid w:val="00822657"/>
    <w:rsid w:val="00831DCC"/>
    <w:rsid w:val="008412FA"/>
    <w:rsid w:val="008413E2"/>
    <w:rsid w:val="00842EED"/>
    <w:rsid w:val="00850891"/>
    <w:rsid w:val="008619F9"/>
    <w:rsid w:val="00864BFB"/>
    <w:rsid w:val="00870EAE"/>
    <w:rsid w:val="00871B42"/>
    <w:rsid w:val="00873B3B"/>
    <w:rsid w:val="00876700"/>
    <w:rsid w:val="00877022"/>
    <w:rsid w:val="008854C8"/>
    <w:rsid w:val="008921E0"/>
    <w:rsid w:val="008937B7"/>
    <w:rsid w:val="00893A22"/>
    <w:rsid w:val="00894718"/>
    <w:rsid w:val="008A355E"/>
    <w:rsid w:val="008A7126"/>
    <w:rsid w:val="008A7CD2"/>
    <w:rsid w:val="008B1EA5"/>
    <w:rsid w:val="008B2E97"/>
    <w:rsid w:val="008B5D43"/>
    <w:rsid w:val="008C5695"/>
    <w:rsid w:val="008D3F56"/>
    <w:rsid w:val="008D7BD8"/>
    <w:rsid w:val="008E50E4"/>
    <w:rsid w:val="00912BB8"/>
    <w:rsid w:val="00913B15"/>
    <w:rsid w:val="00914676"/>
    <w:rsid w:val="00920ED3"/>
    <w:rsid w:val="00922BE5"/>
    <w:rsid w:val="00923D55"/>
    <w:rsid w:val="00927F57"/>
    <w:rsid w:val="00943E0C"/>
    <w:rsid w:val="009479EC"/>
    <w:rsid w:val="00952319"/>
    <w:rsid w:val="00956328"/>
    <w:rsid w:val="00956A39"/>
    <w:rsid w:val="00967800"/>
    <w:rsid w:val="00983DF3"/>
    <w:rsid w:val="009878B8"/>
    <w:rsid w:val="00993360"/>
    <w:rsid w:val="00995932"/>
    <w:rsid w:val="009A6367"/>
    <w:rsid w:val="009C2E21"/>
    <w:rsid w:val="009D39AE"/>
    <w:rsid w:val="009D5FA5"/>
    <w:rsid w:val="009D6292"/>
    <w:rsid w:val="009F3080"/>
    <w:rsid w:val="009F56CB"/>
    <w:rsid w:val="00A014AE"/>
    <w:rsid w:val="00A03E6B"/>
    <w:rsid w:val="00A078D8"/>
    <w:rsid w:val="00A1129D"/>
    <w:rsid w:val="00A13258"/>
    <w:rsid w:val="00A17061"/>
    <w:rsid w:val="00A20794"/>
    <w:rsid w:val="00A22383"/>
    <w:rsid w:val="00A2407E"/>
    <w:rsid w:val="00A43CFD"/>
    <w:rsid w:val="00A53F98"/>
    <w:rsid w:val="00A573F6"/>
    <w:rsid w:val="00A61B1F"/>
    <w:rsid w:val="00A713C2"/>
    <w:rsid w:val="00A719F0"/>
    <w:rsid w:val="00A80846"/>
    <w:rsid w:val="00A87032"/>
    <w:rsid w:val="00A943FD"/>
    <w:rsid w:val="00AA12D2"/>
    <w:rsid w:val="00AA4E94"/>
    <w:rsid w:val="00AB0AF2"/>
    <w:rsid w:val="00AC1807"/>
    <w:rsid w:val="00AD2290"/>
    <w:rsid w:val="00AE02B6"/>
    <w:rsid w:val="00AE4E93"/>
    <w:rsid w:val="00AF3C37"/>
    <w:rsid w:val="00B0085A"/>
    <w:rsid w:val="00B054E4"/>
    <w:rsid w:val="00B05D2C"/>
    <w:rsid w:val="00B0647F"/>
    <w:rsid w:val="00B0745E"/>
    <w:rsid w:val="00B14F4D"/>
    <w:rsid w:val="00B22B70"/>
    <w:rsid w:val="00B2777C"/>
    <w:rsid w:val="00B27B92"/>
    <w:rsid w:val="00B50E55"/>
    <w:rsid w:val="00B57814"/>
    <w:rsid w:val="00B6241D"/>
    <w:rsid w:val="00B70F51"/>
    <w:rsid w:val="00B75658"/>
    <w:rsid w:val="00BA13AA"/>
    <w:rsid w:val="00BA3A79"/>
    <w:rsid w:val="00BA4F88"/>
    <w:rsid w:val="00BA5D88"/>
    <w:rsid w:val="00BA746F"/>
    <w:rsid w:val="00BB7DEC"/>
    <w:rsid w:val="00BD2F57"/>
    <w:rsid w:val="00BE0A4F"/>
    <w:rsid w:val="00BE0F56"/>
    <w:rsid w:val="00C05C06"/>
    <w:rsid w:val="00C06209"/>
    <w:rsid w:val="00C07C3F"/>
    <w:rsid w:val="00C07DB4"/>
    <w:rsid w:val="00C13EB5"/>
    <w:rsid w:val="00C203A8"/>
    <w:rsid w:val="00C21309"/>
    <w:rsid w:val="00C260C4"/>
    <w:rsid w:val="00C26127"/>
    <w:rsid w:val="00C4503B"/>
    <w:rsid w:val="00C471E2"/>
    <w:rsid w:val="00C55FC7"/>
    <w:rsid w:val="00C5647A"/>
    <w:rsid w:val="00C70137"/>
    <w:rsid w:val="00C7257C"/>
    <w:rsid w:val="00C80859"/>
    <w:rsid w:val="00C81766"/>
    <w:rsid w:val="00C844CB"/>
    <w:rsid w:val="00C8480E"/>
    <w:rsid w:val="00C909FA"/>
    <w:rsid w:val="00C94A42"/>
    <w:rsid w:val="00CA3AD0"/>
    <w:rsid w:val="00CB10D4"/>
    <w:rsid w:val="00CC4F82"/>
    <w:rsid w:val="00CC524F"/>
    <w:rsid w:val="00CF0C9A"/>
    <w:rsid w:val="00CF0D9C"/>
    <w:rsid w:val="00CF526E"/>
    <w:rsid w:val="00D0051A"/>
    <w:rsid w:val="00D107CE"/>
    <w:rsid w:val="00D158AB"/>
    <w:rsid w:val="00D15D99"/>
    <w:rsid w:val="00D20E7E"/>
    <w:rsid w:val="00D22997"/>
    <w:rsid w:val="00D2787E"/>
    <w:rsid w:val="00D319B9"/>
    <w:rsid w:val="00D334C5"/>
    <w:rsid w:val="00D40D38"/>
    <w:rsid w:val="00D42A86"/>
    <w:rsid w:val="00D53D78"/>
    <w:rsid w:val="00D70E6F"/>
    <w:rsid w:val="00D84470"/>
    <w:rsid w:val="00D85197"/>
    <w:rsid w:val="00D91F34"/>
    <w:rsid w:val="00D939D3"/>
    <w:rsid w:val="00DA3C4B"/>
    <w:rsid w:val="00DA6ED5"/>
    <w:rsid w:val="00DB29AA"/>
    <w:rsid w:val="00DB4034"/>
    <w:rsid w:val="00DD1D5D"/>
    <w:rsid w:val="00DD29C2"/>
    <w:rsid w:val="00DD57F7"/>
    <w:rsid w:val="00DD6C17"/>
    <w:rsid w:val="00DD700B"/>
    <w:rsid w:val="00DE2A6D"/>
    <w:rsid w:val="00DE3413"/>
    <w:rsid w:val="00DE5965"/>
    <w:rsid w:val="00DE7A98"/>
    <w:rsid w:val="00DF1D49"/>
    <w:rsid w:val="00DF5A72"/>
    <w:rsid w:val="00E12073"/>
    <w:rsid w:val="00E12EC7"/>
    <w:rsid w:val="00E37661"/>
    <w:rsid w:val="00E526DB"/>
    <w:rsid w:val="00E53DA0"/>
    <w:rsid w:val="00E605FB"/>
    <w:rsid w:val="00E827F5"/>
    <w:rsid w:val="00E85F0A"/>
    <w:rsid w:val="00E974C4"/>
    <w:rsid w:val="00EA234B"/>
    <w:rsid w:val="00EA35BC"/>
    <w:rsid w:val="00EA5E28"/>
    <w:rsid w:val="00EA78A5"/>
    <w:rsid w:val="00EB2DD6"/>
    <w:rsid w:val="00EB5A81"/>
    <w:rsid w:val="00ED0481"/>
    <w:rsid w:val="00ED595E"/>
    <w:rsid w:val="00ED5CB9"/>
    <w:rsid w:val="00ED7BAD"/>
    <w:rsid w:val="00EE2A3E"/>
    <w:rsid w:val="00EF0290"/>
    <w:rsid w:val="00EF7F12"/>
    <w:rsid w:val="00F10627"/>
    <w:rsid w:val="00F112CB"/>
    <w:rsid w:val="00F16480"/>
    <w:rsid w:val="00F2177F"/>
    <w:rsid w:val="00F2575D"/>
    <w:rsid w:val="00F26117"/>
    <w:rsid w:val="00F512C8"/>
    <w:rsid w:val="00F5249F"/>
    <w:rsid w:val="00F52E23"/>
    <w:rsid w:val="00F54DA4"/>
    <w:rsid w:val="00F66DD1"/>
    <w:rsid w:val="00F6750D"/>
    <w:rsid w:val="00F709AB"/>
    <w:rsid w:val="00F731E9"/>
    <w:rsid w:val="00F765F2"/>
    <w:rsid w:val="00F83F5A"/>
    <w:rsid w:val="00F902E1"/>
    <w:rsid w:val="00F97703"/>
    <w:rsid w:val="00FA5F39"/>
    <w:rsid w:val="00FB0421"/>
    <w:rsid w:val="00FB1296"/>
    <w:rsid w:val="00FC464F"/>
    <w:rsid w:val="00FC4C2B"/>
    <w:rsid w:val="00FE219B"/>
    <w:rsid w:val="00FE602B"/>
    <w:rsid w:val="00FE61E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6B8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4987EE3-7538-4CDA-AA38-294D8C17A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1</Pages>
  <Words>682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310</cp:revision>
  <dcterms:created xsi:type="dcterms:W3CDTF">2021-06-16T14:59:00Z</dcterms:created>
  <dcterms:modified xsi:type="dcterms:W3CDTF">2024-07-30T19:16:00Z</dcterms:modified>
</cp:coreProperties>
</file>