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2455199A" w:rsidR="0007659A" w:rsidRPr="00AE6D4D" w:rsidRDefault="00F97703" w:rsidP="00AE6D4D">
      <w:pPr>
        <w:jc w:val="center"/>
        <w:rPr>
          <w:rFonts w:ascii="Century Gothic" w:hAnsi="Century Gothic"/>
          <w:b/>
          <w:bCs/>
          <w:color w:val="505A64"/>
          <w:sz w:val="28"/>
          <w:szCs w:val="28"/>
        </w:rPr>
      </w:pPr>
      <w:r w:rsidRPr="00AE6D4D">
        <w:rPr>
          <w:rFonts w:ascii="Century Gothic" w:hAnsi="Century Gothic"/>
          <w:b/>
          <w:bCs/>
          <w:color w:val="505A64"/>
          <w:sz w:val="28"/>
          <w:szCs w:val="28"/>
        </w:rPr>
        <w:t>Reporte de variaciones quincenales</w:t>
      </w:r>
    </w:p>
    <w:p w14:paraId="097691D9" w14:textId="1119A53B" w:rsidR="00D107CE" w:rsidRPr="00AE6D4D" w:rsidRDefault="00D107CE" w:rsidP="00AE6D4D">
      <w:pPr>
        <w:rPr>
          <w:rFonts w:ascii="Century Gothic" w:hAnsi="Century Gothic"/>
          <w:b/>
          <w:color w:val="505A64"/>
          <w:sz w:val="22"/>
          <w:szCs w:val="22"/>
        </w:rPr>
      </w:pPr>
      <w:bookmarkStart w:id="0" w:name="_GoBack"/>
      <w:bookmarkEnd w:id="0"/>
    </w:p>
    <w:p w14:paraId="5B6C7388" w14:textId="3CD49A35" w:rsidR="005B5BEB" w:rsidRPr="00AE6D4D" w:rsidRDefault="004D744E" w:rsidP="00AE6D4D">
      <w:pPr>
        <w:rPr>
          <w:rFonts w:ascii="Century Gothic" w:hAnsi="Century Gothic"/>
          <w:b/>
          <w:color w:val="505A64"/>
          <w:sz w:val="22"/>
          <w:szCs w:val="22"/>
        </w:rPr>
      </w:pPr>
      <w:r>
        <w:rPr>
          <w:rFonts w:ascii="Century Gothic" w:hAnsi="Century Gothic"/>
          <w:b/>
          <w:color w:val="505A64"/>
          <w:sz w:val="22"/>
          <w:szCs w:val="22"/>
        </w:rPr>
        <w:t>Segunda</w:t>
      </w:r>
      <w:r w:rsidR="00D954DB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 xml:space="preserve">Quincena – </w:t>
      </w:r>
      <w:r w:rsidR="00FE2DF4">
        <w:rPr>
          <w:rFonts w:ascii="Century Gothic" w:hAnsi="Century Gothic"/>
          <w:b/>
          <w:color w:val="505A64"/>
          <w:sz w:val="22"/>
          <w:szCs w:val="22"/>
        </w:rPr>
        <w:t>octu</w:t>
      </w:r>
      <w:r w:rsidR="006F1DD1">
        <w:rPr>
          <w:rFonts w:ascii="Century Gothic" w:hAnsi="Century Gothic"/>
          <w:b/>
          <w:color w:val="505A64"/>
          <w:sz w:val="22"/>
          <w:szCs w:val="22"/>
        </w:rPr>
        <w:t>bre</w:t>
      </w:r>
      <w:r w:rsidR="00693013" w:rsidRPr="00AE6D4D">
        <w:rPr>
          <w:rFonts w:ascii="Century Gothic" w:hAnsi="Century Gothic"/>
          <w:b/>
          <w:color w:val="505A64"/>
          <w:sz w:val="22"/>
          <w:szCs w:val="22"/>
        </w:rPr>
        <w:t xml:space="preserve"> </w:t>
      </w:r>
      <w:r w:rsidR="00F97703" w:rsidRPr="00AE6D4D">
        <w:rPr>
          <w:rFonts w:ascii="Century Gothic" w:hAnsi="Century Gothic"/>
          <w:b/>
          <w:color w:val="505A64"/>
          <w:sz w:val="22"/>
          <w:szCs w:val="22"/>
        </w:rPr>
        <w:t>2024</w:t>
      </w:r>
    </w:p>
    <w:p w14:paraId="0A63EC31" w14:textId="77777777" w:rsidR="00F97703" w:rsidRPr="00AE6D4D" w:rsidRDefault="00F97703" w:rsidP="00AE6D4D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208C8C0" w14:textId="5ECF9A55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nivel nacional, los artículos</w:t>
      </w:r>
      <w:r w:rsidR="00DB4034" w:rsidRPr="00AE6D4D">
        <w:rPr>
          <w:rStyle w:val="Refdenotaalpie"/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footnoteReference w:id="1"/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mayores variaciones son los siguientes:</w:t>
      </w:r>
    </w:p>
    <w:p w14:paraId="7645D714" w14:textId="77777777" w:rsidR="00E12073" w:rsidRDefault="00E1207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9B47E5C" w14:textId="1294BCB6" w:rsidR="004D744E" w:rsidRDefault="006E5FEE" w:rsidP="004D744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Positiva:</w:t>
      </w:r>
      <w:r w:rsidR="00CE4FC1" w:rsidRPr="00CE4FC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2,53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1,31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1,23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72F9B753" w14:textId="77777777" w:rsidR="00A54855" w:rsidRDefault="00A54855" w:rsidP="00A54855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8F468FE" w14:textId="6E03C73B" w:rsidR="004D744E" w:rsidRPr="004D744E" w:rsidRDefault="00F97703" w:rsidP="004D744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Variación Negativa:</w:t>
      </w:r>
      <w:r w:rsidR="00391A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-5,34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-2,35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(</w:t>
      </w:r>
      <w:r w:rsidR="004D744E"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-1,78</w:t>
      </w:r>
      <w:r w:rsid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</w:t>
      </w:r>
    </w:p>
    <w:p w14:paraId="4D1E2EC9" w14:textId="77777777" w:rsidR="00B9085F" w:rsidRDefault="00B9085F" w:rsidP="008D096F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C77E2A8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positiva fueron:</w:t>
      </w:r>
    </w:p>
    <w:p w14:paraId="5D461022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8EB3CDD" w14:textId="30E9F04C" w:rsidR="004D744E" w:rsidRDefault="004D744E" w:rsidP="0084379E">
      <w:pPr>
        <w:tabs>
          <w:tab w:val="left" w:pos="7938"/>
        </w:tabs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D744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Corvina de mar (2,53%)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: </w:t>
      </w:r>
      <w:r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Guayaquil (</w:t>
      </w:r>
      <w:r w:rsidR="00015FF7" w:rsidRPr="00015F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5,81</w:t>
      </w:r>
      <w:r w:rsidR="00015F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), Manta (</w:t>
      </w:r>
      <w:r w:rsidR="00015FF7" w:rsidRPr="00015F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3,47</w:t>
      </w:r>
      <w:r w:rsidR="00015F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 y Quito (</w:t>
      </w:r>
      <w:r w:rsidR="00015FF7" w:rsidRPr="00015F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1,29</w:t>
      </w:r>
      <w:r w:rsidR="00015F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). Caso contrario sucede en las demás ciudades investigadas, principalmente en Esmeraldas (</w:t>
      </w:r>
      <w:r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-8,74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%), Ambato </w:t>
      </w:r>
      <w:r w:rsidR="00015F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-7,69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Pr="004D744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-3,04</w:t>
      </w:r>
      <w:r w:rsidR="000E7EA5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)</w:t>
      </w:r>
      <w:r w:rsidR="00015F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 presentan variación negativa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11EE1F1F" w14:textId="77777777" w:rsidR="004D744E" w:rsidRDefault="004D744E" w:rsidP="004D744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3CD6B4E" w14:textId="1465B56F" w:rsidR="004D744E" w:rsidRDefault="004D744E" w:rsidP="004D744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D744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Aceite de palma africana (1,31%)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015F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Presenta incremento de precios en varias de las ciudades investigad</w:t>
      </w:r>
      <w:r w:rsidR="001408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015FF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1408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principalmente en Cuenca (</w:t>
      </w:r>
      <w:r w:rsidR="001408E7" w:rsidRPr="001408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4,54</w:t>
      </w:r>
      <w:r w:rsidR="001408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1408E7" w:rsidRPr="001408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2,99</w:t>
      </w:r>
      <w:r w:rsidR="001408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Quito (</w:t>
      </w:r>
      <w:r w:rsidR="001408E7" w:rsidRPr="001408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1,87</w:t>
      </w:r>
      <w:r w:rsidR="001408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Esmeraldas (</w:t>
      </w:r>
      <w:r w:rsidR="001408E7" w:rsidRPr="001408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-2,23</w:t>
      </w:r>
      <w:r w:rsidR="001408E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negativa. Las ciudades de Machala y Loja no presentan variación de precios.</w:t>
      </w:r>
    </w:p>
    <w:p w14:paraId="09B7661C" w14:textId="77777777" w:rsidR="004D744E" w:rsidRDefault="004D744E" w:rsidP="004D744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76DED8BA" w14:textId="0620A115" w:rsidR="004D744E" w:rsidRPr="004D744E" w:rsidRDefault="004D744E" w:rsidP="004D744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4D744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Leche entera funda (1,23%)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950BD" w:rsidRP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950BD" w:rsidRPr="00AE6D4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incremento </w:t>
      </w:r>
      <w:r w:rsid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precios en las ciudades de Quito (</w:t>
      </w:r>
      <w:r w:rsidR="009950BD" w:rsidRP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3,07</w:t>
      </w:r>
      <w:r w:rsid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Guayaquil (</w:t>
      </w:r>
      <w:r w:rsidR="009950BD" w:rsidRP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0,81</w:t>
      </w:r>
      <w:r w:rsid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9950BD" w:rsidRP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0,66</w:t>
      </w:r>
      <w:r w:rsid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las ciudades de Manta (</w:t>
      </w:r>
      <w:r w:rsidR="009950BD" w:rsidRP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-0,34</w:t>
      </w:r>
      <w:r w:rsid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Ambato (</w:t>
      </w:r>
      <w:r w:rsidR="009950BD" w:rsidRP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-0,09</w:t>
      </w:r>
      <w:r w:rsidR="009950B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presentan variación negativa. Las demás ciudades investigadas no presentan variación de precios.</w:t>
      </w:r>
    </w:p>
    <w:p w14:paraId="5E2D47D0" w14:textId="77777777" w:rsidR="004D744E" w:rsidRDefault="004D744E" w:rsidP="004D744E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51783F91" w14:textId="77777777" w:rsidR="00F97703" w:rsidRPr="00AE6D4D" w:rsidRDefault="00F97703" w:rsidP="00AE6D4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AE6D4D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- Los artículos quincenales por ciudades con mayor variación negativa fueron:</w:t>
      </w:r>
    </w:p>
    <w:p w14:paraId="7370211C" w14:textId="77777777" w:rsidR="002D02B6" w:rsidRDefault="002D02B6" w:rsidP="00425609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16E00CE1" w14:textId="417615DF" w:rsidR="0015047E" w:rsidRDefault="0015047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5047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Tomate riñón (-5,34%)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341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3417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1341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varias de </w:t>
      </w:r>
      <w:r w:rsidR="0013417E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</w:t>
      </w:r>
      <w:r w:rsidR="001341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 Machala (</w:t>
      </w:r>
      <w:r w:rsidR="0013417E" w:rsidRPr="001341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-19,40</w:t>
      </w:r>
      <w:r w:rsidR="001341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Cuenca (</w:t>
      </w:r>
      <w:r w:rsidR="0013417E" w:rsidRPr="001341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-17,02</w:t>
      </w:r>
      <w:r w:rsidR="001341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y Quito </w:t>
      </w:r>
      <w:r w:rsidR="00B5006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           </w:t>
      </w:r>
      <w:r w:rsidR="001341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(</w:t>
      </w:r>
      <w:r w:rsidR="0013417E" w:rsidRPr="001341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-8,07</w:t>
      </w:r>
      <w:r w:rsidR="0013417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Las ciudades de Manta, Santo Domingo, Loja y Ambato no presentan variación de precios.</w:t>
      </w:r>
    </w:p>
    <w:p w14:paraId="335F8638" w14:textId="77777777" w:rsidR="0015047E" w:rsidRDefault="0015047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97E78AC" w14:textId="01ABC263" w:rsidR="0015047E" w:rsidRDefault="0015047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5047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Pechuga de pollo (-2,35%)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920469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Presenta disminución de precios en las ciudades</w:t>
      </w:r>
      <w:r w:rsid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Quito (</w:t>
      </w:r>
      <w:r w:rsidR="00920469" w:rsidRP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-10,39</w:t>
      </w:r>
      <w:r w:rsid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Loja (</w:t>
      </w:r>
      <w:r w:rsidR="00920469" w:rsidRP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-6,01</w:t>
      </w:r>
      <w:r w:rsid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Santo Domingo (</w:t>
      </w:r>
      <w:r w:rsidR="00920469" w:rsidRP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-3,45</w:t>
      </w:r>
      <w:r w:rsid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 la ciudad de Manta (</w:t>
      </w:r>
      <w:r w:rsidR="00920469" w:rsidRP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5,63</w:t>
      </w:r>
      <w:r w:rsid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%) que presenta variación positiva. Las demás ciudades </w:t>
      </w:r>
      <w:r w:rsidR="00312F3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investigadas </w:t>
      </w:r>
      <w:r w:rsidR="00920469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no presentan variación de precios.</w:t>
      </w:r>
    </w:p>
    <w:p w14:paraId="703B4902" w14:textId="77777777" w:rsidR="0015047E" w:rsidRDefault="0015047E" w:rsidP="00E54F9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41387AF6" w14:textId="039956F1" w:rsidR="00C67C77" w:rsidRDefault="0015047E" w:rsidP="00C67C77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5047E"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  <w:t>Pollo entero (-1,78%)</w:t>
      </w:r>
      <w: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48782C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Presenta disminución de precios en </w:t>
      </w:r>
      <w:r w:rsid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varias de </w:t>
      </w:r>
      <w:r w:rsidR="0048782C" w:rsidRPr="00A2152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las ciudades</w:t>
      </w:r>
      <w:r w:rsid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investigadas, principalmente en Quito (</w:t>
      </w:r>
      <w:r w:rsidR="0048782C" w:rsidRP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-6,87</w:t>
      </w:r>
      <w:r w:rsid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%), Ambato (</w:t>
      </w:r>
      <w:r w:rsidR="0048782C" w:rsidRP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-2,63</w:t>
      </w:r>
      <w:r w:rsid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y Cuenca (</w:t>
      </w:r>
      <w:r w:rsidR="0048782C" w:rsidRP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-2,44</w:t>
      </w:r>
      <w:r w:rsid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%). Caso contrario sucede en</w:t>
      </w:r>
      <w:r w:rsidR="000E21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ciudad de</w:t>
      </w:r>
      <w:r w:rsid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Guayaquil (</w:t>
      </w:r>
      <w:r w:rsidR="0048782C" w:rsidRP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0,68</w:t>
      </w:r>
      <w:r w:rsidR="0048782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%) que presenta variación positiva. Las ciudades de Esmeraldas, Manta y Loja no</w:t>
      </w:r>
      <w:r w:rsidR="000E218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presentan variación de precios.</w:t>
      </w:r>
    </w:p>
    <w:sectPr w:rsidR="00C67C77" w:rsidSect="004C7717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804B0" w14:textId="77777777" w:rsidR="00D817ED" w:rsidRDefault="00D817ED" w:rsidP="0007659A">
      <w:r>
        <w:separator/>
      </w:r>
    </w:p>
  </w:endnote>
  <w:endnote w:type="continuationSeparator" w:id="0">
    <w:p w14:paraId="5809E8BB" w14:textId="77777777" w:rsidR="00D817ED" w:rsidRDefault="00D817ED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4BC2D4ED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586221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2DEDE320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79E" w:rsidRPr="0084379E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3FCFFD" w14:textId="77777777" w:rsidR="00D817ED" w:rsidRDefault="00D817ED" w:rsidP="0007659A">
      <w:r>
        <w:separator/>
      </w:r>
    </w:p>
  </w:footnote>
  <w:footnote w:type="continuationSeparator" w:id="0">
    <w:p w14:paraId="7390CDEF" w14:textId="77777777" w:rsidR="00D817ED" w:rsidRDefault="00D817ED" w:rsidP="0007659A">
      <w:r>
        <w:continuationSeparator/>
      </w:r>
    </w:p>
  </w:footnote>
  <w:footnote w:id="1">
    <w:p w14:paraId="5D60856B" w14:textId="5269DE45" w:rsidR="00DB4034" w:rsidRPr="00AE6D4D" w:rsidRDefault="00DB4034">
      <w:pPr>
        <w:pStyle w:val="Textonotapie"/>
        <w:rPr>
          <w:rFonts w:ascii="Century Gothic" w:hAnsi="Century Gothic"/>
          <w:color w:val="505A64"/>
          <w:sz w:val="14"/>
          <w:szCs w:val="14"/>
          <w:lang w:val="es-MX"/>
        </w:rPr>
      </w:pPr>
      <w:r w:rsidRPr="00AE6D4D">
        <w:rPr>
          <w:rStyle w:val="Refdenotaalpie"/>
          <w:rFonts w:ascii="Century Gothic" w:hAnsi="Century Gothic"/>
          <w:color w:val="505A64"/>
          <w:sz w:val="14"/>
          <w:szCs w:val="14"/>
        </w:rPr>
        <w:footnoteRef/>
      </w:r>
      <w:r w:rsidRPr="00AE6D4D">
        <w:rPr>
          <w:rFonts w:ascii="Century Gothic" w:hAnsi="Century Gothic"/>
          <w:color w:val="505A64"/>
          <w:sz w:val="14"/>
          <w:szCs w:val="14"/>
        </w:rPr>
        <w:t xml:space="preserve"> </w:t>
      </w:r>
      <w:r w:rsidRPr="00AE6D4D">
        <w:rPr>
          <w:rFonts w:ascii="Century Gothic" w:eastAsia="Century Gothic" w:hAnsi="Century Gothic" w:cs="Calibri"/>
          <w:color w:val="505A64"/>
          <w:sz w:val="14"/>
          <w:szCs w:val="14"/>
          <w:lang w:eastAsia="es-ES" w:bidi="es-ES"/>
        </w:rPr>
        <w:t>El análisis corresponde a 17 artículos seleccionados de los 58 con periodicidad quincenal</w:t>
      </w:r>
      <w:r w:rsidRPr="00AE6D4D">
        <w:rPr>
          <w:rFonts w:ascii="Century Gothic" w:hAnsi="Century Gothic" w:cs="Calibri"/>
          <w:color w:val="505A64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0AB2C487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7CAC84AB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7154B878">
          <wp:simplePos x="0" y="0"/>
          <wp:positionH relativeFrom="page">
            <wp:align>right</wp:align>
          </wp:positionH>
          <wp:positionV relativeFrom="paragraph">
            <wp:posOffset>-436880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15FF7"/>
    <w:rsid w:val="0002277C"/>
    <w:rsid w:val="0003100F"/>
    <w:rsid w:val="0003137E"/>
    <w:rsid w:val="00037A07"/>
    <w:rsid w:val="00037FCD"/>
    <w:rsid w:val="0004148D"/>
    <w:rsid w:val="000618D5"/>
    <w:rsid w:val="00070836"/>
    <w:rsid w:val="0007659A"/>
    <w:rsid w:val="00077E04"/>
    <w:rsid w:val="00084376"/>
    <w:rsid w:val="000875D3"/>
    <w:rsid w:val="00090EB8"/>
    <w:rsid w:val="0009564D"/>
    <w:rsid w:val="000A0C79"/>
    <w:rsid w:val="000A5171"/>
    <w:rsid w:val="000B0FAC"/>
    <w:rsid w:val="000B44C5"/>
    <w:rsid w:val="000C1492"/>
    <w:rsid w:val="000C2B5E"/>
    <w:rsid w:val="000C358E"/>
    <w:rsid w:val="000C53D9"/>
    <w:rsid w:val="000D0542"/>
    <w:rsid w:val="000D3805"/>
    <w:rsid w:val="000D5AB1"/>
    <w:rsid w:val="000E2188"/>
    <w:rsid w:val="000E3D22"/>
    <w:rsid w:val="000E7D18"/>
    <w:rsid w:val="000E7EA5"/>
    <w:rsid w:val="000F0D56"/>
    <w:rsid w:val="000F3F14"/>
    <w:rsid w:val="00100D01"/>
    <w:rsid w:val="00110509"/>
    <w:rsid w:val="00113A15"/>
    <w:rsid w:val="00122072"/>
    <w:rsid w:val="00125966"/>
    <w:rsid w:val="00126774"/>
    <w:rsid w:val="00132FA5"/>
    <w:rsid w:val="0013417E"/>
    <w:rsid w:val="001351CA"/>
    <w:rsid w:val="001408E7"/>
    <w:rsid w:val="00144E4C"/>
    <w:rsid w:val="00147091"/>
    <w:rsid w:val="0014730B"/>
    <w:rsid w:val="0015047E"/>
    <w:rsid w:val="001554B1"/>
    <w:rsid w:val="0015571E"/>
    <w:rsid w:val="00156C83"/>
    <w:rsid w:val="0016047C"/>
    <w:rsid w:val="00162808"/>
    <w:rsid w:val="00183790"/>
    <w:rsid w:val="0018554C"/>
    <w:rsid w:val="001A1EEA"/>
    <w:rsid w:val="001A602B"/>
    <w:rsid w:val="001B0E68"/>
    <w:rsid w:val="001B4DA0"/>
    <w:rsid w:val="001C45A7"/>
    <w:rsid w:val="001D4E42"/>
    <w:rsid w:val="001E2A50"/>
    <w:rsid w:val="001E2C32"/>
    <w:rsid w:val="001E552C"/>
    <w:rsid w:val="001F1FC9"/>
    <w:rsid w:val="00203B72"/>
    <w:rsid w:val="002050B1"/>
    <w:rsid w:val="00213A3F"/>
    <w:rsid w:val="002169E1"/>
    <w:rsid w:val="00216C86"/>
    <w:rsid w:val="00217B84"/>
    <w:rsid w:val="00225EC4"/>
    <w:rsid w:val="002325F1"/>
    <w:rsid w:val="00236554"/>
    <w:rsid w:val="00243A25"/>
    <w:rsid w:val="00247C1D"/>
    <w:rsid w:val="00254172"/>
    <w:rsid w:val="00257A05"/>
    <w:rsid w:val="0026258A"/>
    <w:rsid w:val="00264F79"/>
    <w:rsid w:val="0026765D"/>
    <w:rsid w:val="00270E6F"/>
    <w:rsid w:val="002715AC"/>
    <w:rsid w:val="00274A8B"/>
    <w:rsid w:val="00283960"/>
    <w:rsid w:val="002911E1"/>
    <w:rsid w:val="002940E4"/>
    <w:rsid w:val="002A2DBC"/>
    <w:rsid w:val="002A6400"/>
    <w:rsid w:val="002A780B"/>
    <w:rsid w:val="002C3B00"/>
    <w:rsid w:val="002D02B6"/>
    <w:rsid w:val="002D2F1E"/>
    <w:rsid w:val="002E4199"/>
    <w:rsid w:val="002F063F"/>
    <w:rsid w:val="00304B56"/>
    <w:rsid w:val="003051EF"/>
    <w:rsid w:val="00311E94"/>
    <w:rsid w:val="00312F3A"/>
    <w:rsid w:val="003159DF"/>
    <w:rsid w:val="00320184"/>
    <w:rsid w:val="0032636C"/>
    <w:rsid w:val="00327D22"/>
    <w:rsid w:val="00331AEB"/>
    <w:rsid w:val="00331BF1"/>
    <w:rsid w:val="00334471"/>
    <w:rsid w:val="003348FA"/>
    <w:rsid w:val="00344520"/>
    <w:rsid w:val="00354F5F"/>
    <w:rsid w:val="00355B4C"/>
    <w:rsid w:val="00360585"/>
    <w:rsid w:val="003613AE"/>
    <w:rsid w:val="00371C2A"/>
    <w:rsid w:val="00383894"/>
    <w:rsid w:val="0038646C"/>
    <w:rsid w:val="003917C2"/>
    <w:rsid w:val="00391A4D"/>
    <w:rsid w:val="00391F96"/>
    <w:rsid w:val="00396919"/>
    <w:rsid w:val="003A3D24"/>
    <w:rsid w:val="003A49C7"/>
    <w:rsid w:val="003A7553"/>
    <w:rsid w:val="003B121A"/>
    <w:rsid w:val="003B4760"/>
    <w:rsid w:val="003D1EA1"/>
    <w:rsid w:val="003D574C"/>
    <w:rsid w:val="003D5FCC"/>
    <w:rsid w:val="003E10D0"/>
    <w:rsid w:val="003E2C83"/>
    <w:rsid w:val="003F35EB"/>
    <w:rsid w:val="003F7976"/>
    <w:rsid w:val="00403D8B"/>
    <w:rsid w:val="00407419"/>
    <w:rsid w:val="00417A9A"/>
    <w:rsid w:val="00423376"/>
    <w:rsid w:val="00424501"/>
    <w:rsid w:val="00425609"/>
    <w:rsid w:val="00427C12"/>
    <w:rsid w:val="00431CF4"/>
    <w:rsid w:val="004407CD"/>
    <w:rsid w:val="0044687E"/>
    <w:rsid w:val="00452A5E"/>
    <w:rsid w:val="0047148A"/>
    <w:rsid w:val="004737EA"/>
    <w:rsid w:val="0047535B"/>
    <w:rsid w:val="0048507D"/>
    <w:rsid w:val="0048782C"/>
    <w:rsid w:val="00492363"/>
    <w:rsid w:val="00496A3E"/>
    <w:rsid w:val="004A1F61"/>
    <w:rsid w:val="004A275D"/>
    <w:rsid w:val="004A5F2B"/>
    <w:rsid w:val="004A6C3D"/>
    <w:rsid w:val="004C67E8"/>
    <w:rsid w:val="004C71B5"/>
    <w:rsid w:val="004C731A"/>
    <w:rsid w:val="004C7717"/>
    <w:rsid w:val="004D432A"/>
    <w:rsid w:val="004D744E"/>
    <w:rsid w:val="004E009E"/>
    <w:rsid w:val="004F27D9"/>
    <w:rsid w:val="004F324D"/>
    <w:rsid w:val="004F6BD9"/>
    <w:rsid w:val="00501D72"/>
    <w:rsid w:val="0050510A"/>
    <w:rsid w:val="00506922"/>
    <w:rsid w:val="0051588C"/>
    <w:rsid w:val="005220AC"/>
    <w:rsid w:val="005379A7"/>
    <w:rsid w:val="00550DB8"/>
    <w:rsid w:val="00551058"/>
    <w:rsid w:val="00551604"/>
    <w:rsid w:val="005534F9"/>
    <w:rsid w:val="00560522"/>
    <w:rsid w:val="00566F3E"/>
    <w:rsid w:val="005722A9"/>
    <w:rsid w:val="0058031B"/>
    <w:rsid w:val="005835EA"/>
    <w:rsid w:val="005857AF"/>
    <w:rsid w:val="00586221"/>
    <w:rsid w:val="005870C9"/>
    <w:rsid w:val="00592EC6"/>
    <w:rsid w:val="005A4E64"/>
    <w:rsid w:val="005B483F"/>
    <w:rsid w:val="005B5BEB"/>
    <w:rsid w:val="005C23E6"/>
    <w:rsid w:val="005C4F02"/>
    <w:rsid w:val="005C5954"/>
    <w:rsid w:val="005C612B"/>
    <w:rsid w:val="005D1206"/>
    <w:rsid w:val="005D3F63"/>
    <w:rsid w:val="005E315D"/>
    <w:rsid w:val="005F50CF"/>
    <w:rsid w:val="005F52F6"/>
    <w:rsid w:val="005F7635"/>
    <w:rsid w:val="00603DF3"/>
    <w:rsid w:val="00606BCB"/>
    <w:rsid w:val="006079CC"/>
    <w:rsid w:val="00607B55"/>
    <w:rsid w:val="006313E7"/>
    <w:rsid w:val="006339F4"/>
    <w:rsid w:val="00641AF8"/>
    <w:rsid w:val="00652601"/>
    <w:rsid w:val="00654E2E"/>
    <w:rsid w:val="00657B6E"/>
    <w:rsid w:val="006603F3"/>
    <w:rsid w:val="006671A6"/>
    <w:rsid w:val="0067526A"/>
    <w:rsid w:val="00685A0E"/>
    <w:rsid w:val="00693013"/>
    <w:rsid w:val="00697E55"/>
    <w:rsid w:val="006B0A37"/>
    <w:rsid w:val="006B3FB3"/>
    <w:rsid w:val="006C0004"/>
    <w:rsid w:val="006D4098"/>
    <w:rsid w:val="006E3468"/>
    <w:rsid w:val="006E5FEE"/>
    <w:rsid w:val="006F0164"/>
    <w:rsid w:val="006F1DD1"/>
    <w:rsid w:val="006F3310"/>
    <w:rsid w:val="006F6302"/>
    <w:rsid w:val="006F7222"/>
    <w:rsid w:val="00703BA0"/>
    <w:rsid w:val="0071159C"/>
    <w:rsid w:val="007170FA"/>
    <w:rsid w:val="00721A47"/>
    <w:rsid w:val="0072722D"/>
    <w:rsid w:val="00727C57"/>
    <w:rsid w:val="00733499"/>
    <w:rsid w:val="00745BDA"/>
    <w:rsid w:val="00747207"/>
    <w:rsid w:val="0075269F"/>
    <w:rsid w:val="007553BF"/>
    <w:rsid w:val="007562ED"/>
    <w:rsid w:val="00757D6B"/>
    <w:rsid w:val="007627DF"/>
    <w:rsid w:val="007706E3"/>
    <w:rsid w:val="00773A8F"/>
    <w:rsid w:val="00777D78"/>
    <w:rsid w:val="0078414B"/>
    <w:rsid w:val="0078561F"/>
    <w:rsid w:val="00785932"/>
    <w:rsid w:val="007A0CE2"/>
    <w:rsid w:val="007A3155"/>
    <w:rsid w:val="007A36E4"/>
    <w:rsid w:val="007B60A1"/>
    <w:rsid w:val="007C4192"/>
    <w:rsid w:val="007C4B27"/>
    <w:rsid w:val="007C6A45"/>
    <w:rsid w:val="007D01F6"/>
    <w:rsid w:val="007D2B44"/>
    <w:rsid w:val="007D2F00"/>
    <w:rsid w:val="007E053A"/>
    <w:rsid w:val="007E1473"/>
    <w:rsid w:val="007E50D5"/>
    <w:rsid w:val="007E73B5"/>
    <w:rsid w:val="00801771"/>
    <w:rsid w:val="00802104"/>
    <w:rsid w:val="00804372"/>
    <w:rsid w:val="00806ECE"/>
    <w:rsid w:val="00810074"/>
    <w:rsid w:val="0082074E"/>
    <w:rsid w:val="0082204C"/>
    <w:rsid w:val="00822657"/>
    <w:rsid w:val="00822EF4"/>
    <w:rsid w:val="00823820"/>
    <w:rsid w:val="00831DCC"/>
    <w:rsid w:val="008357F4"/>
    <w:rsid w:val="00837912"/>
    <w:rsid w:val="0084379E"/>
    <w:rsid w:val="00852EF4"/>
    <w:rsid w:val="00855020"/>
    <w:rsid w:val="00870B8A"/>
    <w:rsid w:val="00873AAD"/>
    <w:rsid w:val="00874413"/>
    <w:rsid w:val="008765D6"/>
    <w:rsid w:val="00877662"/>
    <w:rsid w:val="008801ED"/>
    <w:rsid w:val="00894FC8"/>
    <w:rsid w:val="008A12F6"/>
    <w:rsid w:val="008A355E"/>
    <w:rsid w:val="008A58B1"/>
    <w:rsid w:val="008C18FE"/>
    <w:rsid w:val="008C6190"/>
    <w:rsid w:val="008C7129"/>
    <w:rsid w:val="008D096F"/>
    <w:rsid w:val="008D2097"/>
    <w:rsid w:val="008E10B5"/>
    <w:rsid w:val="008E6E42"/>
    <w:rsid w:val="008F705C"/>
    <w:rsid w:val="00900C7F"/>
    <w:rsid w:val="00907442"/>
    <w:rsid w:val="00913D1D"/>
    <w:rsid w:val="009158B3"/>
    <w:rsid w:val="00920224"/>
    <w:rsid w:val="00920469"/>
    <w:rsid w:val="009212D5"/>
    <w:rsid w:val="009212F7"/>
    <w:rsid w:val="00923EC6"/>
    <w:rsid w:val="00926ACF"/>
    <w:rsid w:val="009338C2"/>
    <w:rsid w:val="00943C5B"/>
    <w:rsid w:val="009479EC"/>
    <w:rsid w:val="009611ED"/>
    <w:rsid w:val="00961632"/>
    <w:rsid w:val="00962BC7"/>
    <w:rsid w:val="009753FD"/>
    <w:rsid w:val="0097541A"/>
    <w:rsid w:val="00987A12"/>
    <w:rsid w:val="00993360"/>
    <w:rsid w:val="00994381"/>
    <w:rsid w:val="00994B99"/>
    <w:rsid w:val="009950BD"/>
    <w:rsid w:val="009A59D5"/>
    <w:rsid w:val="009C15E2"/>
    <w:rsid w:val="009C1D53"/>
    <w:rsid w:val="009D3BDE"/>
    <w:rsid w:val="009D6D05"/>
    <w:rsid w:val="009D7882"/>
    <w:rsid w:val="00A014AE"/>
    <w:rsid w:val="00A0351A"/>
    <w:rsid w:val="00A03F76"/>
    <w:rsid w:val="00A143D8"/>
    <w:rsid w:val="00A2152F"/>
    <w:rsid w:val="00A2644B"/>
    <w:rsid w:val="00A265A2"/>
    <w:rsid w:val="00A43CFD"/>
    <w:rsid w:val="00A46CB7"/>
    <w:rsid w:val="00A4733B"/>
    <w:rsid w:val="00A524D3"/>
    <w:rsid w:val="00A542A4"/>
    <w:rsid w:val="00A54855"/>
    <w:rsid w:val="00A54EC8"/>
    <w:rsid w:val="00A606F0"/>
    <w:rsid w:val="00A758E0"/>
    <w:rsid w:val="00A84F57"/>
    <w:rsid w:val="00A86E75"/>
    <w:rsid w:val="00AA0BB9"/>
    <w:rsid w:val="00AA5139"/>
    <w:rsid w:val="00AA7925"/>
    <w:rsid w:val="00AA7C9D"/>
    <w:rsid w:val="00AB7AAF"/>
    <w:rsid w:val="00AE2411"/>
    <w:rsid w:val="00AE6D4D"/>
    <w:rsid w:val="00AE72ED"/>
    <w:rsid w:val="00AE754A"/>
    <w:rsid w:val="00B048F2"/>
    <w:rsid w:val="00B05663"/>
    <w:rsid w:val="00B0745E"/>
    <w:rsid w:val="00B157A0"/>
    <w:rsid w:val="00B17B43"/>
    <w:rsid w:val="00B20B23"/>
    <w:rsid w:val="00B31B60"/>
    <w:rsid w:val="00B34600"/>
    <w:rsid w:val="00B3545C"/>
    <w:rsid w:val="00B4752E"/>
    <w:rsid w:val="00B5006B"/>
    <w:rsid w:val="00B503EA"/>
    <w:rsid w:val="00B5170C"/>
    <w:rsid w:val="00B74CFC"/>
    <w:rsid w:val="00B774EC"/>
    <w:rsid w:val="00B810C2"/>
    <w:rsid w:val="00B9085F"/>
    <w:rsid w:val="00B92C12"/>
    <w:rsid w:val="00B9357A"/>
    <w:rsid w:val="00BA0635"/>
    <w:rsid w:val="00BA6AF9"/>
    <w:rsid w:val="00BA7660"/>
    <w:rsid w:val="00BB3788"/>
    <w:rsid w:val="00BC2622"/>
    <w:rsid w:val="00BC35A5"/>
    <w:rsid w:val="00BD6C05"/>
    <w:rsid w:val="00BE049E"/>
    <w:rsid w:val="00BE0A4F"/>
    <w:rsid w:val="00BE0F56"/>
    <w:rsid w:val="00BE26CA"/>
    <w:rsid w:val="00BF048D"/>
    <w:rsid w:val="00C00430"/>
    <w:rsid w:val="00C0334F"/>
    <w:rsid w:val="00C074D7"/>
    <w:rsid w:val="00C11F60"/>
    <w:rsid w:val="00C14759"/>
    <w:rsid w:val="00C1525D"/>
    <w:rsid w:val="00C15CF6"/>
    <w:rsid w:val="00C203A8"/>
    <w:rsid w:val="00C4437A"/>
    <w:rsid w:val="00C46F65"/>
    <w:rsid w:val="00C51170"/>
    <w:rsid w:val="00C52791"/>
    <w:rsid w:val="00C5552B"/>
    <w:rsid w:val="00C5637A"/>
    <w:rsid w:val="00C67C77"/>
    <w:rsid w:val="00C7423A"/>
    <w:rsid w:val="00C75EC3"/>
    <w:rsid w:val="00C77A40"/>
    <w:rsid w:val="00C82467"/>
    <w:rsid w:val="00C9322A"/>
    <w:rsid w:val="00C94FBA"/>
    <w:rsid w:val="00CA1270"/>
    <w:rsid w:val="00CA3E1D"/>
    <w:rsid w:val="00CA6218"/>
    <w:rsid w:val="00CA743B"/>
    <w:rsid w:val="00CA7DC9"/>
    <w:rsid w:val="00CB10D4"/>
    <w:rsid w:val="00CB28D2"/>
    <w:rsid w:val="00CB3D7D"/>
    <w:rsid w:val="00CC2B1E"/>
    <w:rsid w:val="00CC3D44"/>
    <w:rsid w:val="00CD75C5"/>
    <w:rsid w:val="00CE0311"/>
    <w:rsid w:val="00CE3961"/>
    <w:rsid w:val="00CE4110"/>
    <w:rsid w:val="00CE4FC1"/>
    <w:rsid w:val="00CE5F4B"/>
    <w:rsid w:val="00CF00D8"/>
    <w:rsid w:val="00D045DD"/>
    <w:rsid w:val="00D06BAA"/>
    <w:rsid w:val="00D107CE"/>
    <w:rsid w:val="00D13327"/>
    <w:rsid w:val="00D24736"/>
    <w:rsid w:val="00D24A10"/>
    <w:rsid w:val="00D258D3"/>
    <w:rsid w:val="00D27C23"/>
    <w:rsid w:val="00D362DF"/>
    <w:rsid w:val="00D451C3"/>
    <w:rsid w:val="00D45F01"/>
    <w:rsid w:val="00D46236"/>
    <w:rsid w:val="00D6548A"/>
    <w:rsid w:val="00D660FB"/>
    <w:rsid w:val="00D66DAF"/>
    <w:rsid w:val="00D70E6F"/>
    <w:rsid w:val="00D817ED"/>
    <w:rsid w:val="00D84884"/>
    <w:rsid w:val="00D92B3A"/>
    <w:rsid w:val="00D954DB"/>
    <w:rsid w:val="00DA5452"/>
    <w:rsid w:val="00DB1024"/>
    <w:rsid w:val="00DB10E2"/>
    <w:rsid w:val="00DB1C77"/>
    <w:rsid w:val="00DB4034"/>
    <w:rsid w:val="00DB67CF"/>
    <w:rsid w:val="00DB7802"/>
    <w:rsid w:val="00DC0328"/>
    <w:rsid w:val="00DC644B"/>
    <w:rsid w:val="00DD2CB5"/>
    <w:rsid w:val="00DE5965"/>
    <w:rsid w:val="00DE6055"/>
    <w:rsid w:val="00DE7A98"/>
    <w:rsid w:val="00E04A14"/>
    <w:rsid w:val="00E04C79"/>
    <w:rsid w:val="00E12073"/>
    <w:rsid w:val="00E160C7"/>
    <w:rsid w:val="00E2352D"/>
    <w:rsid w:val="00E336FD"/>
    <w:rsid w:val="00E43367"/>
    <w:rsid w:val="00E44E54"/>
    <w:rsid w:val="00E5136F"/>
    <w:rsid w:val="00E5268E"/>
    <w:rsid w:val="00E54F94"/>
    <w:rsid w:val="00E55296"/>
    <w:rsid w:val="00E66E77"/>
    <w:rsid w:val="00E676B4"/>
    <w:rsid w:val="00E87694"/>
    <w:rsid w:val="00E92889"/>
    <w:rsid w:val="00EA1525"/>
    <w:rsid w:val="00EB784E"/>
    <w:rsid w:val="00EC712A"/>
    <w:rsid w:val="00ED0E17"/>
    <w:rsid w:val="00ED68E2"/>
    <w:rsid w:val="00EF0211"/>
    <w:rsid w:val="00EF7F12"/>
    <w:rsid w:val="00F00F27"/>
    <w:rsid w:val="00F10627"/>
    <w:rsid w:val="00F34971"/>
    <w:rsid w:val="00F36EAD"/>
    <w:rsid w:val="00F413F4"/>
    <w:rsid w:val="00F52E23"/>
    <w:rsid w:val="00F54DA4"/>
    <w:rsid w:val="00F62192"/>
    <w:rsid w:val="00F6750D"/>
    <w:rsid w:val="00F7128F"/>
    <w:rsid w:val="00F76EC2"/>
    <w:rsid w:val="00F91776"/>
    <w:rsid w:val="00F94980"/>
    <w:rsid w:val="00F95FE5"/>
    <w:rsid w:val="00F97703"/>
    <w:rsid w:val="00F97F77"/>
    <w:rsid w:val="00FA27B0"/>
    <w:rsid w:val="00FA7AC3"/>
    <w:rsid w:val="00FB1054"/>
    <w:rsid w:val="00FB6D02"/>
    <w:rsid w:val="00FC2345"/>
    <w:rsid w:val="00FE2DF4"/>
    <w:rsid w:val="00FF5558"/>
    <w:rsid w:val="00FF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50B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92B3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92B3A"/>
    <w:rPr>
      <w:rFonts w:ascii="Segoe UI" w:hAnsi="Segoe UI" w:cs="Segoe UI"/>
      <w:sz w:val="18"/>
      <w:szCs w:val="18"/>
    </w:rPr>
  </w:style>
  <w:style w:type="paragraph" w:styleId="Revisin">
    <w:name w:val="Revision"/>
    <w:hidden/>
    <w:uiPriority w:val="99"/>
    <w:semiHidden/>
    <w:rsid w:val="00ED6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8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A13A24D-10D2-4691-9D93-D2C2AF809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360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19</cp:revision>
  <dcterms:created xsi:type="dcterms:W3CDTF">2024-10-14T15:59:00Z</dcterms:created>
  <dcterms:modified xsi:type="dcterms:W3CDTF">2024-11-06T18:38:00Z</dcterms:modified>
</cp:coreProperties>
</file>