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24AB1CAE" w14:textId="77777777" w:rsidR="000C7864" w:rsidRPr="000C7864" w:rsidRDefault="000C7864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4"/>
          <w:szCs w:val="4"/>
          <w:lang w:eastAsia="es-ES" w:bidi="es-ES"/>
        </w:rPr>
      </w:pPr>
    </w:p>
    <w:p w14:paraId="31628471" w14:textId="3BEDC458" w:rsidR="00440C1B" w:rsidRDefault="001D4C03" w:rsidP="007A7011">
      <w:pPr>
        <w:spacing w:after="0" w:line="24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0B2A7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Agosto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</w:p>
    <w:p w14:paraId="6D64D29E" w14:textId="77777777" w:rsidR="00112895" w:rsidRPr="005F527D" w:rsidRDefault="00112895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</w:p>
    <w:p w14:paraId="5E6A2967" w14:textId="42108AEA"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2B923858" w14:textId="3BE51675" w:rsidR="001D4C03" w:rsidRDefault="004C437D" w:rsidP="001D4C03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1D4C03" w:rsidRPr="001D4C03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1D4C0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D4C03" w:rsidRPr="001D4C03">
        <w:rPr>
          <w:rFonts w:ascii="Century Gothic" w:hAnsi="Century Gothic" w:cs="Calibri"/>
          <w:sz w:val="20"/>
          <w:szCs w:val="20"/>
          <w:lang w:val="es-ES_tradnl"/>
        </w:rPr>
        <w:t>10,25</w:t>
      </w:r>
      <w:r w:rsidR="001D4C03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1D4C03" w:rsidRPr="001D4C03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1D4C0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D4C03" w:rsidRPr="001D4C03">
        <w:rPr>
          <w:rFonts w:ascii="Century Gothic" w:hAnsi="Century Gothic" w:cs="Calibri"/>
          <w:sz w:val="20"/>
          <w:szCs w:val="20"/>
          <w:lang w:val="es-ES_tradnl"/>
        </w:rPr>
        <w:t>2,21</w:t>
      </w:r>
      <w:r w:rsidR="001C4A43">
        <w:rPr>
          <w:rFonts w:ascii="Century Gothic" w:hAnsi="Century Gothic" w:cs="Calibri"/>
          <w:sz w:val="20"/>
          <w:szCs w:val="20"/>
          <w:lang w:val="es-ES_tradnl"/>
        </w:rPr>
        <w:t xml:space="preserve">%); y, </w:t>
      </w:r>
      <w:r w:rsidR="001D4C03" w:rsidRPr="001D4C03">
        <w:rPr>
          <w:rFonts w:ascii="Century Gothic" w:hAnsi="Century Gothic" w:cs="Calibri"/>
          <w:sz w:val="20"/>
          <w:szCs w:val="20"/>
          <w:lang w:val="es-ES_tradnl"/>
        </w:rPr>
        <w:t>Azúcar blanca</w:t>
      </w:r>
      <w:r w:rsidR="001D4C0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D4C03" w:rsidRPr="001D4C03">
        <w:rPr>
          <w:rFonts w:ascii="Century Gothic" w:hAnsi="Century Gothic" w:cs="Calibri"/>
          <w:sz w:val="20"/>
          <w:szCs w:val="20"/>
          <w:lang w:val="es-ES_tradnl"/>
        </w:rPr>
        <w:t>1,73</w:t>
      </w:r>
      <w:r w:rsidR="001D4C03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p w14:paraId="4413DAA2" w14:textId="28FCEC0F" w:rsidR="00C063F4" w:rsidRPr="00C063F4" w:rsidRDefault="00F34010" w:rsidP="001D4C03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4F1C9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D4C03" w:rsidRPr="001D4C03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1D4C0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D4C03" w:rsidRPr="001D4C03">
        <w:rPr>
          <w:rFonts w:ascii="Century Gothic" w:hAnsi="Century Gothic" w:cs="Calibri"/>
          <w:sz w:val="20"/>
          <w:szCs w:val="20"/>
          <w:lang w:val="es-ES_tradnl"/>
        </w:rPr>
        <w:t>-1,78</w:t>
      </w:r>
      <w:r w:rsidR="001D4C03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1D4C03" w:rsidRPr="001D4C03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1D4C0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D4C03" w:rsidRPr="001D4C03">
        <w:rPr>
          <w:rFonts w:ascii="Century Gothic" w:hAnsi="Century Gothic" w:cs="Calibri"/>
          <w:sz w:val="20"/>
          <w:szCs w:val="20"/>
          <w:lang w:val="es-ES_tradnl"/>
        </w:rPr>
        <w:t>-1,20</w:t>
      </w:r>
      <w:r w:rsidR="001D4C03">
        <w:rPr>
          <w:rFonts w:ascii="Century Gothic" w:hAnsi="Century Gothic" w:cs="Calibri"/>
          <w:sz w:val="20"/>
          <w:szCs w:val="20"/>
          <w:lang w:val="es-ES_tradnl"/>
        </w:rPr>
        <w:t xml:space="preserve">%); y, </w:t>
      </w:r>
      <w:r w:rsidR="001D4C03" w:rsidRPr="001D4C03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1D4C0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D4C03" w:rsidRPr="001D4C03">
        <w:rPr>
          <w:rFonts w:ascii="Century Gothic" w:hAnsi="Century Gothic" w:cs="Calibri"/>
          <w:sz w:val="20"/>
          <w:szCs w:val="20"/>
          <w:lang w:val="es-ES_tradnl"/>
        </w:rPr>
        <w:t>-1,09</w:t>
      </w:r>
      <w:r w:rsidR="001D4C03">
        <w:rPr>
          <w:rFonts w:ascii="Century Gothic" w:hAnsi="Century Gothic" w:cs="Calibri"/>
          <w:sz w:val="20"/>
          <w:szCs w:val="20"/>
          <w:lang w:val="es-ES_tradnl"/>
        </w:rPr>
        <w:t>%).</w:t>
      </w:r>
      <w:bookmarkEnd w:id="1"/>
      <w:bookmarkEnd w:id="2"/>
    </w:p>
    <w:p w14:paraId="2BCF6D54" w14:textId="4FA1F952" w:rsidR="00FE4354" w:rsidRPr="00FE4354" w:rsidRDefault="00FC5E40" w:rsidP="00931AA1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40C9EB2C" w14:textId="011B7BF3" w:rsidR="001D4C03" w:rsidRDefault="001D4C03" w:rsidP="00501F07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D4C03">
        <w:rPr>
          <w:rFonts w:ascii="Century Gothic" w:hAnsi="Century Gothic" w:cs="Calibri"/>
          <w:sz w:val="20"/>
          <w:szCs w:val="20"/>
          <w:u w:val="single"/>
          <w:lang w:val="es-ES_tradnl"/>
        </w:rPr>
        <w:t>Fideos (10,25%)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varias </w:t>
      </w:r>
      <w:r w:rsidRPr="0030708F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>
        <w:rPr>
          <w:rFonts w:ascii="Century Gothic" w:hAnsi="Century Gothic" w:cs="Calibri"/>
          <w:sz w:val="20"/>
          <w:szCs w:val="20"/>
          <w:lang w:val="es-ES_tradnl"/>
        </w:rPr>
        <w:t>, principalmente en</w:t>
      </w:r>
      <w:r w:rsidR="00F97601">
        <w:rPr>
          <w:rFonts w:ascii="Century Gothic" w:hAnsi="Century Gothic" w:cs="Calibri"/>
          <w:sz w:val="20"/>
          <w:szCs w:val="20"/>
          <w:lang w:val="es-ES_tradnl"/>
        </w:rPr>
        <w:t xml:space="preserve"> Esmeraldas (</w:t>
      </w:r>
      <w:r w:rsidR="00F97601" w:rsidRPr="00F97601">
        <w:rPr>
          <w:rFonts w:ascii="Century Gothic" w:hAnsi="Century Gothic" w:cs="Calibri"/>
          <w:sz w:val="20"/>
          <w:szCs w:val="20"/>
          <w:lang w:val="es-ES_tradnl"/>
        </w:rPr>
        <w:t>28,59</w:t>
      </w:r>
      <w:r w:rsidR="00F97601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F97601" w:rsidRPr="00F97601">
        <w:rPr>
          <w:rFonts w:ascii="Century Gothic" w:hAnsi="Century Gothic" w:cs="Calibri"/>
          <w:sz w:val="20"/>
          <w:szCs w:val="20"/>
          <w:lang w:val="es-ES_tradnl"/>
        </w:rPr>
        <w:t>16,51</w:t>
      </w:r>
      <w:r w:rsidR="00F97601">
        <w:rPr>
          <w:rFonts w:ascii="Century Gothic" w:hAnsi="Century Gothic" w:cs="Calibri"/>
          <w:sz w:val="20"/>
          <w:szCs w:val="20"/>
          <w:lang w:val="es-ES_tradnl"/>
        </w:rPr>
        <w:t>%) y Machala (</w:t>
      </w:r>
      <w:r w:rsidR="00F97601" w:rsidRPr="00F97601">
        <w:rPr>
          <w:rFonts w:ascii="Century Gothic" w:hAnsi="Century Gothic" w:cs="Calibri"/>
          <w:sz w:val="20"/>
          <w:szCs w:val="20"/>
          <w:lang w:val="es-ES_tradnl"/>
        </w:rPr>
        <w:t>12,32</w:t>
      </w:r>
      <w:r w:rsidR="00F97601">
        <w:rPr>
          <w:rFonts w:ascii="Century Gothic" w:hAnsi="Century Gothic" w:cs="Calibri"/>
          <w:sz w:val="20"/>
          <w:szCs w:val="20"/>
          <w:lang w:val="es-ES_tradnl"/>
        </w:rPr>
        <w:t>%). Caso contrario sucede en la ciudad de Cuenca que presenta variación negativa (</w:t>
      </w:r>
      <w:r w:rsidR="00F97601" w:rsidRPr="00F97601">
        <w:rPr>
          <w:rFonts w:ascii="Century Gothic" w:hAnsi="Century Gothic" w:cs="Calibri"/>
          <w:sz w:val="20"/>
          <w:szCs w:val="20"/>
          <w:lang w:val="es-ES_tradnl"/>
        </w:rPr>
        <w:t>-1,80</w:t>
      </w:r>
      <w:r w:rsidR="00F97601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236653">
        <w:rPr>
          <w:rFonts w:ascii="Century Gothic" w:hAnsi="Century Gothic" w:cs="Calibri"/>
          <w:sz w:val="20"/>
          <w:szCs w:val="20"/>
          <w:lang w:val="es-ES_tradnl"/>
        </w:rPr>
        <w:t xml:space="preserve"> No presenta variación de precios la ciudad de Loja.</w:t>
      </w:r>
    </w:p>
    <w:p w14:paraId="0CED63B5" w14:textId="4955D15D" w:rsidR="001D4C03" w:rsidRDefault="001D4C03" w:rsidP="00501F07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D4C03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(2,21%)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455480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en algunas ciudades investigadas, principalmente en</w:t>
      </w:r>
      <w:r w:rsidR="00A57044">
        <w:rPr>
          <w:rFonts w:ascii="Century Gothic" w:hAnsi="Century Gothic" w:cs="Calibri"/>
          <w:sz w:val="20"/>
          <w:szCs w:val="20"/>
          <w:lang w:val="es-ES_tradnl"/>
        </w:rPr>
        <w:t xml:space="preserve"> Machala (</w:t>
      </w:r>
      <w:r w:rsidR="00A57044" w:rsidRPr="00A57044">
        <w:rPr>
          <w:rFonts w:ascii="Century Gothic" w:hAnsi="Century Gothic" w:cs="Calibri"/>
          <w:sz w:val="20"/>
          <w:szCs w:val="20"/>
          <w:lang w:val="es-ES_tradnl"/>
        </w:rPr>
        <w:t>12,08</w:t>
      </w:r>
      <w:r w:rsidR="00A57044"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="00A57044" w:rsidRPr="00A57044">
        <w:rPr>
          <w:rFonts w:ascii="Century Gothic" w:hAnsi="Century Gothic" w:cs="Calibri"/>
          <w:sz w:val="20"/>
          <w:szCs w:val="20"/>
          <w:lang w:val="es-ES_tradnl"/>
        </w:rPr>
        <w:t>6,96</w:t>
      </w:r>
      <w:r w:rsidR="00A57044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A57044" w:rsidRPr="00A57044">
        <w:rPr>
          <w:rFonts w:ascii="Century Gothic" w:hAnsi="Century Gothic" w:cs="Calibri"/>
          <w:sz w:val="20"/>
          <w:szCs w:val="20"/>
          <w:lang w:val="es-ES_tradnl"/>
        </w:rPr>
        <w:t>4,51</w:t>
      </w:r>
      <w:r w:rsidR="00A57044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Esmeraldas (</w:t>
      </w:r>
      <w:r w:rsidR="00A57044" w:rsidRPr="00A57044">
        <w:rPr>
          <w:rFonts w:ascii="Century Gothic" w:hAnsi="Century Gothic" w:cs="Calibri"/>
          <w:sz w:val="20"/>
          <w:szCs w:val="20"/>
          <w:lang w:val="es-ES_tradnl"/>
        </w:rPr>
        <w:t>-4,97</w:t>
      </w:r>
      <w:r w:rsidR="00A57044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A57044" w:rsidRPr="00A57044">
        <w:rPr>
          <w:rFonts w:ascii="Century Gothic" w:hAnsi="Century Gothic" w:cs="Calibri"/>
          <w:sz w:val="20"/>
          <w:szCs w:val="20"/>
          <w:lang w:val="es-ES_tradnl"/>
        </w:rPr>
        <w:t>-3,67</w:t>
      </w:r>
      <w:r w:rsidR="00A57044">
        <w:rPr>
          <w:rFonts w:ascii="Century Gothic" w:hAnsi="Century Gothic" w:cs="Calibri"/>
          <w:sz w:val="20"/>
          <w:szCs w:val="20"/>
          <w:lang w:val="es-ES_tradnl"/>
        </w:rPr>
        <w:t xml:space="preserve">%) y Loja </w:t>
      </w:r>
      <w:r w:rsidR="00FB3FD8">
        <w:rPr>
          <w:rFonts w:ascii="Century Gothic" w:hAnsi="Century Gothic" w:cs="Calibri"/>
          <w:sz w:val="20"/>
          <w:szCs w:val="20"/>
          <w:lang w:val="es-ES_tradnl"/>
        </w:rPr>
        <w:t xml:space="preserve">    </w:t>
      </w:r>
      <w:r w:rsidR="00A5704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57044" w:rsidRPr="00A57044">
        <w:rPr>
          <w:rFonts w:ascii="Century Gothic" w:hAnsi="Century Gothic" w:cs="Calibri"/>
          <w:sz w:val="20"/>
          <w:szCs w:val="20"/>
          <w:lang w:val="es-ES_tradnl"/>
        </w:rPr>
        <w:t>-2,76</w:t>
      </w:r>
      <w:r w:rsidR="00A57044">
        <w:rPr>
          <w:rFonts w:ascii="Century Gothic" w:hAnsi="Century Gothic" w:cs="Calibri"/>
          <w:sz w:val="20"/>
          <w:szCs w:val="20"/>
          <w:lang w:val="es-ES_tradnl"/>
        </w:rPr>
        <w:t>%) que presenta</w:t>
      </w:r>
      <w:r w:rsidR="00A55B97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A57044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negativa.</w:t>
      </w:r>
    </w:p>
    <w:p w14:paraId="09F8CCE6" w14:textId="49E4569C" w:rsidR="001D4C03" w:rsidRDefault="001D4C03" w:rsidP="00501F07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1D4C03"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 (1,73%)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5704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57044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A57044">
        <w:rPr>
          <w:rFonts w:ascii="Century Gothic" w:hAnsi="Century Gothic" w:cs="Calibri"/>
          <w:sz w:val="20"/>
          <w:szCs w:val="20"/>
          <w:lang w:val="es-ES_tradnl"/>
        </w:rPr>
        <w:t xml:space="preserve"> las </w:t>
      </w:r>
      <w:r w:rsidR="00A57044" w:rsidRPr="0030708F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A57044">
        <w:rPr>
          <w:rFonts w:ascii="Century Gothic" w:hAnsi="Century Gothic" w:cs="Calibri"/>
          <w:sz w:val="20"/>
          <w:szCs w:val="20"/>
          <w:lang w:val="es-ES_tradnl"/>
        </w:rPr>
        <w:t>de Santo Domingo (</w:t>
      </w:r>
      <w:r w:rsidR="00A57044" w:rsidRPr="00A57044">
        <w:rPr>
          <w:rFonts w:ascii="Century Gothic" w:hAnsi="Century Gothic" w:cs="Calibri"/>
          <w:sz w:val="20"/>
          <w:szCs w:val="20"/>
          <w:lang w:val="es-ES_tradnl"/>
        </w:rPr>
        <w:t>8,17</w:t>
      </w:r>
      <w:r w:rsidR="00A57044"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="00A57044" w:rsidRPr="00A57044">
        <w:rPr>
          <w:rFonts w:ascii="Century Gothic" w:hAnsi="Century Gothic" w:cs="Calibri"/>
          <w:sz w:val="20"/>
          <w:szCs w:val="20"/>
          <w:lang w:val="es-ES_tradnl"/>
        </w:rPr>
        <w:t>4,00</w:t>
      </w:r>
      <w:r w:rsidR="00A57044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A57044" w:rsidRPr="00A57044">
        <w:rPr>
          <w:rFonts w:ascii="Century Gothic" w:hAnsi="Century Gothic" w:cs="Calibri"/>
          <w:sz w:val="20"/>
          <w:szCs w:val="20"/>
          <w:lang w:val="es-ES_tradnl"/>
        </w:rPr>
        <w:t>3,09</w:t>
      </w:r>
      <w:r w:rsidR="00A57044">
        <w:rPr>
          <w:rFonts w:ascii="Century Gothic" w:hAnsi="Century Gothic" w:cs="Calibri"/>
          <w:sz w:val="20"/>
          <w:szCs w:val="20"/>
          <w:lang w:val="es-ES_tradnl"/>
        </w:rPr>
        <w:t>%). No presentan variación de precios las demás ciudades investigadas por el INEC.</w:t>
      </w:r>
    </w:p>
    <w:p w14:paraId="2D7AA73B" w14:textId="77777777" w:rsidR="008D7811" w:rsidRDefault="00FC5E40" w:rsidP="00931AA1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10B864EC" w14:textId="19940C4D" w:rsidR="00611448" w:rsidRDefault="00611448" w:rsidP="00935C0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611448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(-1,78%)</w:t>
      </w:r>
      <w:r w:rsidRPr="00611448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27167">
        <w:rPr>
          <w:rFonts w:ascii="Century Gothic" w:hAnsi="Century Gothic" w:cs="Calibri"/>
          <w:sz w:val="20"/>
          <w:szCs w:val="20"/>
          <w:lang w:val="es-ES_tradnl"/>
        </w:rPr>
        <w:t xml:space="preserve"> Presenta variación negativa de precios en las ciudades de Guayaquil (</w:t>
      </w:r>
      <w:r w:rsidR="00727167" w:rsidRPr="00727167">
        <w:rPr>
          <w:rFonts w:ascii="Century Gothic" w:hAnsi="Century Gothic" w:cs="Calibri"/>
          <w:sz w:val="20"/>
          <w:szCs w:val="20"/>
          <w:lang w:val="es-ES_tradnl"/>
        </w:rPr>
        <w:t>-5,90</w:t>
      </w:r>
      <w:r w:rsidR="00727167"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="00727167" w:rsidRPr="00727167">
        <w:rPr>
          <w:rFonts w:ascii="Century Gothic" w:hAnsi="Century Gothic" w:cs="Calibri"/>
          <w:sz w:val="20"/>
          <w:szCs w:val="20"/>
          <w:lang w:val="es-ES_tradnl"/>
        </w:rPr>
        <w:t>-4,35</w:t>
      </w:r>
      <w:r w:rsidR="00727167">
        <w:rPr>
          <w:rFonts w:ascii="Century Gothic" w:hAnsi="Century Gothic" w:cs="Calibri"/>
          <w:sz w:val="20"/>
          <w:szCs w:val="20"/>
          <w:lang w:val="es-ES_tradnl"/>
        </w:rPr>
        <w:t>%). Caso contrario sucede en la ciudad de Santo Domingo que presenta variación positiva (</w:t>
      </w:r>
      <w:r w:rsidR="00727167" w:rsidRPr="00727167">
        <w:rPr>
          <w:rFonts w:ascii="Century Gothic" w:hAnsi="Century Gothic" w:cs="Calibri"/>
          <w:sz w:val="20"/>
          <w:szCs w:val="20"/>
          <w:lang w:val="es-ES_tradnl"/>
        </w:rPr>
        <w:t>0,69</w:t>
      </w:r>
      <w:r w:rsidR="00727167">
        <w:rPr>
          <w:rFonts w:ascii="Century Gothic" w:hAnsi="Century Gothic" w:cs="Calibri"/>
          <w:sz w:val="20"/>
          <w:szCs w:val="20"/>
          <w:lang w:val="es-ES_tradnl"/>
        </w:rPr>
        <w:t>%). No presentan variación de precios las demás ciudades investigadas por el INEC.</w:t>
      </w:r>
    </w:p>
    <w:p w14:paraId="715A38AB" w14:textId="48E2A308" w:rsidR="00611448" w:rsidRDefault="00611448" w:rsidP="00935C0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611448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(-1,20%)</w:t>
      </w:r>
      <w:r w:rsidRPr="00611448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8723A">
        <w:rPr>
          <w:rFonts w:ascii="Century Gothic" w:hAnsi="Century Gothic" w:cs="Calibri"/>
          <w:sz w:val="20"/>
          <w:szCs w:val="20"/>
          <w:lang w:val="es-ES_tradnl"/>
        </w:rPr>
        <w:t xml:space="preserve"> Presenta </w:t>
      </w:r>
      <w:r w:rsidR="00E8723A"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E8723A">
        <w:rPr>
          <w:rFonts w:ascii="Century Gothic" w:hAnsi="Century Gothic" w:cs="Calibri"/>
          <w:sz w:val="20"/>
          <w:szCs w:val="20"/>
          <w:lang w:val="es-ES_tradnl"/>
        </w:rPr>
        <w:t xml:space="preserve"> en las ciudades de Quito (</w:t>
      </w:r>
      <w:r w:rsidR="00E8723A" w:rsidRPr="00E8723A">
        <w:rPr>
          <w:rFonts w:ascii="Century Gothic" w:hAnsi="Century Gothic" w:cs="Calibri"/>
          <w:sz w:val="20"/>
          <w:szCs w:val="20"/>
          <w:lang w:val="es-ES_tradnl"/>
        </w:rPr>
        <w:t>-4,76</w:t>
      </w:r>
      <w:r w:rsidR="00E8723A">
        <w:rPr>
          <w:rFonts w:ascii="Century Gothic" w:hAnsi="Century Gothic" w:cs="Calibri"/>
          <w:sz w:val="20"/>
          <w:szCs w:val="20"/>
          <w:lang w:val="es-ES_tradnl"/>
        </w:rPr>
        <w:t>%) y Manta (</w:t>
      </w:r>
      <w:r w:rsidR="00E8723A" w:rsidRPr="00E8723A">
        <w:rPr>
          <w:rFonts w:ascii="Century Gothic" w:hAnsi="Century Gothic" w:cs="Calibri"/>
          <w:sz w:val="20"/>
          <w:szCs w:val="20"/>
          <w:lang w:val="es-ES_tradnl"/>
        </w:rPr>
        <w:t>-4,66</w:t>
      </w:r>
      <w:r w:rsidR="00E8723A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Ambato (</w:t>
      </w:r>
      <w:r w:rsidR="00E8723A" w:rsidRPr="00E8723A">
        <w:rPr>
          <w:rFonts w:ascii="Century Gothic" w:hAnsi="Century Gothic" w:cs="Calibri"/>
          <w:sz w:val="20"/>
          <w:szCs w:val="20"/>
          <w:lang w:val="es-ES_tradnl"/>
        </w:rPr>
        <w:t>2,50</w:t>
      </w:r>
      <w:r w:rsidR="00E8723A"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="00E8723A" w:rsidRPr="00E8723A">
        <w:rPr>
          <w:rFonts w:ascii="Century Gothic" w:hAnsi="Century Gothic" w:cs="Calibri"/>
          <w:sz w:val="20"/>
          <w:szCs w:val="20"/>
          <w:lang w:val="es-ES_tradnl"/>
        </w:rPr>
        <w:t>2,12</w:t>
      </w:r>
      <w:r w:rsidR="00E8723A">
        <w:rPr>
          <w:rFonts w:ascii="Century Gothic" w:hAnsi="Century Gothic" w:cs="Calibri"/>
          <w:sz w:val="20"/>
          <w:szCs w:val="20"/>
          <w:lang w:val="es-ES_tradnl"/>
        </w:rPr>
        <w:t>%) que presentan variación positiva de precios. No presentan variación de precios las demás ciudades investigadas por el INEC.</w:t>
      </w:r>
    </w:p>
    <w:p w14:paraId="4E7CD118" w14:textId="2D2415C5" w:rsidR="00611448" w:rsidRDefault="00611448" w:rsidP="00935C0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611448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(-1,09%)</w:t>
      </w:r>
      <w:r w:rsidRPr="00611448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A40CC">
        <w:rPr>
          <w:rFonts w:ascii="Century Gothic" w:hAnsi="Century Gothic" w:cs="Calibri"/>
          <w:sz w:val="20"/>
          <w:szCs w:val="20"/>
          <w:lang w:val="es-ES_tradnl"/>
        </w:rPr>
        <w:t xml:space="preserve"> Presenta variación negativa </w:t>
      </w:r>
      <w:r w:rsidR="0022706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CA40CC">
        <w:rPr>
          <w:rFonts w:ascii="Century Gothic" w:hAnsi="Century Gothic" w:cs="Calibri"/>
          <w:sz w:val="20"/>
          <w:szCs w:val="20"/>
          <w:lang w:val="es-ES_tradnl"/>
        </w:rPr>
        <w:t>en las ciudades de Esmeraldas (</w:t>
      </w:r>
      <w:r w:rsidR="00CA40CC" w:rsidRPr="00CA40CC">
        <w:rPr>
          <w:rFonts w:ascii="Century Gothic" w:hAnsi="Century Gothic" w:cs="Calibri"/>
          <w:sz w:val="20"/>
          <w:szCs w:val="20"/>
          <w:lang w:val="es-ES_tradnl"/>
        </w:rPr>
        <w:t>-20,15</w:t>
      </w:r>
      <w:r w:rsidR="00CA40CC"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="00CA40CC" w:rsidRPr="00CA40CC">
        <w:rPr>
          <w:rFonts w:ascii="Century Gothic" w:hAnsi="Century Gothic" w:cs="Calibri"/>
          <w:sz w:val="20"/>
          <w:szCs w:val="20"/>
          <w:lang w:val="es-ES_tradnl"/>
        </w:rPr>
        <w:t>-5,90</w:t>
      </w:r>
      <w:r w:rsidR="00CA40CC">
        <w:rPr>
          <w:rFonts w:ascii="Century Gothic" w:hAnsi="Century Gothic" w:cs="Calibri"/>
          <w:sz w:val="20"/>
          <w:szCs w:val="20"/>
          <w:lang w:val="es-ES_tradnl"/>
        </w:rPr>
        <w:t>%). No presentan variación de precios las demás ciudades investigadas por el INEC.</w:t>
      </w:r>
      <w:bookmarkStart w:id="3" w:name="_GoBack"/>
      <w:bookmarkEnd w:id="3"/>
    </w:p>
    <w:sectPr w:rsidR="00611448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B16FB" w14:textId="77777777" w:rsidR="0018735E" w:rsidRDefault="0018735E" w:rsidP="00AA3DA1">
      <w:pPr>
        <w:spacing w:after="0" w:line="240" w:lineRule="auto"/>
      </w:pPr>
      <w:r>
        <w:separator/>
      </w:r>
    </w:p>
  </w:endnote>
  <w:endnote w:type="continuationSeparator" w:id="0">
    <w:p w14:paraId="559F6A83" w14:textId="77777777" w:rsidR="0018735E" w:rsidRDefault="0018735E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1B0737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4FB12F" w14:textId="77777777" w:rsidR="0018735E" w:rsidRDefault="0018735E" w:rsidP="00AA3DA1">
      <w:pPr>
        <w:spacing w:after="0" w:line="240" w:lineRule="auto"/>
      </w:pPr>
      <w:r>
        <w:separator/>
      </w:r>
    </w:p>
  </w:footnote>
  <w:footnote w:type="continuationSeparator" w:id="0">
    <w:p w14:paraId="7D2B2199" w14:textId="77777777" w:rsidR="0018735E" w:rsidRDefault="0018735E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A77"/>
    <w:rsid w:val="000B3906"/>
    <w:rsid w:val="000B3E91"/>
    <w:rsid w:val="000B45E9"/>
    <w:rsid w:val="000B4660"/>
    <w:rsid w:val="000B4784"/>
    <w:rsid w:val="000B4E85"/>
    <w:rsid w:val="000B5B03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6FC2"/>
    <w:rsid w:val="000F7C19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10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735E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0AA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B4"/>
    <w:rsid w:val="00344EF4"/>
    <w:rsid w:val="003458B1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1186"/>
    <w:rsid w:val="003613E4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2D15"/>
    <w:rsid w:val="00433228"/>
    <w:rsid w:val="004339E1"/>
    <w:rsid w:val="00433D2F"/>
    <w:rsid w:val="004355C7"/>
    <w:rsid w:val="004362A7"/>
    <w:rsid w:val="00436427"/>
    <w:rsid w:val="004364DD"/>
    <w:rsid w:val="004371FC"/>
    <w:rsid w:val="0043725A"/>
    <w:rsid w:val="00437C79"/>
    <w:rsid w:val="00440C1B"/>
    <w:rsid w:val="00440D39"/>
    <w:rsid w:val="00441314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5F91"/>
    <w:rsid w:val="004869C7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8E7"/>
    <w:rsid w:val="004E2682"/>
    <w:rsid w:val="004E37E4"/>
    <w:rsid w:val="004E43EB"/>
    <w:rsid w:val="004E4739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373DA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F7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A3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41E"/>
    <w:rsid w:val="006A2591"/>
    <w:rsid w:val="006A2D0D"/>
    <w:rsid w:val="006A6243"/>
    <w:rsid w:val="006A65DD"/>
    <w:rsid w:val="006A6722"/>
    <w:rsid w:val="006A7C4F"/>
    <w:rsid w:val="006B0457"/>
    <w:rsid w:val="006B1954"/>
    <w:rsid w:val="006B238A"/>
    <w:rsid w:val="006B31BD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921"/>
    <w:rsid w:val="008D6229"/>
    <w:rsid w:val="008D71FD"/>
    <w:rsid w:val="008D74C5"/>
    <w:rsid w:val="008D7811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10B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48C0"/>
    <w:rsid w:val="00B85101"/>
    <w:rsid w:val="00B85510"/>
    <w:rsid w:val="00B85A64"/>
    <w:rsid w:val="00B85D75"/>
    <w:rsid w:val="00B86E85"/>
    <w:rsid w:val="00B875C6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0DF7"/>
    <w:rsid w:val="00C317D2"/>
    <w:rsid w:val="00C325FA"/>
    <w:rsid w:val="00C32D4C"/>
    <w:rsid w:val="00C33891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6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0E65"/>
    <w:rsid w:val="00D0150F"/>
    <w:rsid w:val="00D01527"/>
    <w:rsid w:val="00D01D8C"/>
    <w:rsid w:val="00D02A31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478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128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F4E27-3F66-4D26-AC05-105D54E7C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323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80</cp:revision>
  <cp:lastPrinted>2011-11-24T21:43:00Z</cp:lastPrinted>
  <dcterms:created xsi:type="dcterms:W3CDTF">2022-06-15T21:30:00Z</dcterms:created>
  <dcterms:modified xsi:type="dcterms:W3CDTF">2022-08-17T13:58:00Z</dcterms:modified>
</cp:coreProperties>
</file>