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5587F5D7" w:rsidR="00440C1B" w:rsidRDefault="00D449AB" w:rsidP="00F36AE8">
      <w:pPr>
        <w:spacing w:after="0"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E4020B">
        <w:rPr>
          <w:rFonts w:ascii="Century Gothic" w:eastAsia="Century Gothic" w:hAnsi="Century Gothic" w:cs="Calibri"/>
          <w:b/>
          <w:color w:val="EE9F00"/>
          <w:lang w:eastAsia="es-ES" w:bidi="es-ES"/>
        </w:rPr>
        <w:t>Septiembre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6D64D29E" w14:textId="77777777" w:rsidR="00112895" w:rsidRPr="000B2014" w:rsidRDefault="00112895" w:rsidP="00F36AE8">
      <w:pPr>
        <w:spacing w:after="0" w:line="360" w:lineRule="auto"/>
        <w:rPr>
          <w:rFonts w:ascii="Century Gothic" w:hAnsi="Century Gothic" w:cs="Calibri"/>
          <w:b/>
          <w:color w:val="EE9F00"/>
          <w:sz w:val="6"/>
          <w:szCs w:val="6"/>
          <w:lang w:val="es-ES_tradnl"/>
        </w:rPr>
      </w:pPr>
    </w:p>
    <w:p w14:paraId="5E6A2967" w14:textId="42108AEA" w:rsidR="003D70FB" w:rsidRDefault="00CA1A53" w:rsidP="00F36AE8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5BEF1318" w14:textId="60D21CC8" w:rsidR="00D449AB" w:rsidRDefault="004C437D" w:rsidP="00F36AE8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4,77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1A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1,72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0,93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6459CDDC" w14:textId="0E499E13" w:rsidR="00D449AB" w:rsidRDefault="00F34010" w:rsidP="00F36AE8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-3,82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1A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49AB">
        <w:t xml:space="preserve"> 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-2,59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449AB" w:rsidRPr="00D449AB">
        <w:rPr>
          <w:rFonts w:ascii="Century Gothic" w:hAnsi="Century Gothic" w:cs="Calibri"/>
          <w:sz w:val="20"/>
          <w:szCs w:val="20"/>
          <w:lang w:val="es-ES_tradnl"/>
        </w:rPr>
        <w:t>-2,39</w:t>
      </w:r>
      <w:r w:rsidR="00D449AB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8CE5EEF" w14:textId="77777777" w:rsidR="00F36AE8" w:rsidRPr="000B2014" w:rsidRDefault="00F36AE8" w:rsidP="00F36AE8">
      <w:pPr>
        <w:spacing w:after="0" w:line="360" w:lineRule="auto"/>
        <w:jc w:val="both"/>
        <w:rPr>
          <w:rFonts w:ascii="Century Gothic" w:hAnsi="Century Gothic" w:cs="Calibri"/>
          <w:sz w:val="6"/>
          <w:szCs w:val="6"/>
          <w:lang w:val="es-ES_tradnl"/>
        </w:rPr>
      </w:pPr>
    </w:p>
    <w:bookmarkEnd w:id="1"/>
    <w:bookmarkEnd w:id="2"/>
    <w:p w14:paraId="2BCF6D54" w14:textId="4FA1F952" w:rsidR="00FE4354" w:rsidRDefault="00FC5E40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0699B2D6" w14:textId="77777777" w:rsidR="000B2014" w:rsidRPr="000B2014" w:rsidRDefault="000B2014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sz w:val="6"/>
          <w:szCs w:val="6"/>
          <w:lang w:eastAsia="es-ES" w:bidi="es-ES"/>
        </w:rPr>
      </w:pPr>
      <w:bookmarkStart w:id="3" w:name="_GoBack"/>
      <w:bookmarkEnd w:id="3"/>
    </w:p>
    <w:p w14:paraId="7C16560C" w14:textId="7951EA6C" w:rsidR="00D449AB" w:rsidRDefault="00D449AB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449AB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(4,77%)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varias de las ciudades investigadas, principalmente en Guayaquil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10,15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1A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4,66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%). Caso contrario sucede en la ciudad de Esmeraldas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-6,65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 que presenta una variación negativa. No presentan variación de precios las ciudades de Loja, Cuenca y Ambato.</w:t>
      </w:r>
    </w:p>
    <w:p w14:paraId="6D1A7B5B" w14:textId="65B9484C" w:rsidR="00D449AB" w:rsidRDefault="00D449AB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449AB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(1,72%)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62D92" w:rsidRPr="005F149C">
        <w:rPr>
          <w:rFonts w:ascii="Century Gothic" w:hAnsi="Century Gothic" w:cs="Calibri"/>
          <w:sz w:val="20"/>
          <w:szCs w:val="20"/>
          <w:lang w:val="es-ES_tradnl"/>
        </w:rPr>
        <w:t>Pr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 xml:space="preserve">esenta incremento de precios en </w:t>
      </w:r>
      <w:r w:rsidR="00C62D92" w:rsidRPr="005F149C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de Santo Domingo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12,62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1A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5,63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2,22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324CB829" w14:textId="1920B484" w:rsidR="0009238A" w:rsidRDefault="00D449AB" w:rsidP="000B2014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449AB">
        <w:rPr>
          <w:rFonts w:ascii="Century Gothic" w:hAnsi="Century Gothic" w:cs="Calibri"/>
          <w:sz w:val="20"/>
          <w:szCs w:val="20"/>
          <w:u w:val="single"/>
          <w:lang w:val="es-ES_tradnl"/>
        </w:rPr>
        <w:t>Fideos (0,93%)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62D92" w:rsidRPr="005F149C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AF0A0B">
        <w:rPr>
          <w:rFonts w:ascii="Century Gothic" w:hAnsi="Century Gothic" w:cs="Calibri"/>
          <w:sz w:val="20"/>
          <w:szCs w:val="20"/>
          <w:lang w:val="es-ES_tradnl"/>
        </w:rPr>
        <w:t xml:space="preserve"> de precios en las ciudades de </w:t>
      </w:r>
      <w:r w:rsidR="00C62D92" w:rsidRPr="005F149C">
        <w:rPr>
          <w:rFonts w:ascii="Century Gothic" w:hAnsi="Century Gothic" w:cs="Calibri"/>
          <w:sz w:val="20"/>
          <w:szCs w:val="20"/>
          <w:lang w:val="es-ES_tradnl"/>
        </w:rPr>
        <w:t xml:space="preserve">Santo 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Domingo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5,39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4285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 xml:space="preserve"> Guayaquil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2,58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C62D92" w:rsidRPr="00C62D92">
        <w:rPr>
          <w:rFonts w:ascii="Century Gothic" w:hAnsi="Century Gothic" w:cs="Calibri"/>
          <w:sz w:val="20"/>
          <w:szCs w:val="20"/>
          <w:lang w:val="es-ES_tradnl"/>
        </w:rPr>
        <w:t>0,80</w:t>
      </w:r>
      <w:r w:rsidR="00C62D92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09238A">
        <w:rPr>
          <w:rFonts w:ascii="Century Gothic" w:hAnsi="Century Gothic" w:cs="Calibri"/>
          <w:sz w:val="20"/>
          <w:szCs w:val="20"/>
          <w:lang w:val="es-ES_tradnl"/>
        </w:rPr>
        <w:t>Caso contrario sucede en las ciudades de Esmeraldas (</w:t>
      </w:r>
      <w:r w:rsidR="0009238A" w:rsidRPr="0009238A">
        <w:rPr>
          <w:rFonts w:ascii="Century Gothic" w:hAnsi="Century Gothic" w:cs="Calibri"/>
          <w:sz w:val="20"/>
          <w:szCs w:val="20"/>
          <w:lang w:val="es-ES_tradnl"/>
        </w:rPr>
        <w:t>-4,20</w:t>
      </w:r>
      <w:r w:rsidR="0009238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4285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9238A">
        <w:rPr>
          <w:rFonts w:ascii="Century Gothic" w:hAnsi="Century Gothic" w:cs="Calibri"/>
          <w:sz w:val="20"/>
          <w:szCs w:val="20"/>
          <w:lang w:val="es-ES_tradnl"/>
        </w:rPr>
        <w:t xml:space="preserve"> Machala (</w:t>
      </w:r>
      <w:r w:rsidR="0009238A" w:rsidRPr="0009238A">
        <w:rPr>
          <w:rFonts w:ascii="Century Gothic" w:hAnsi="Century Gothic" w:cs="Calibri"/>
          <w:sz w:val="20"/>
          <w:szCs w:val="20"/>
          <w:lang w:val="es-ES_tradnl"/>
        </w:rPr>
        <w:t>-2,87</w:t>
      </w:r>
      <w:r w:rsidR="0009238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4285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9238A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09238A" w:rsidRPr="0009238A">
        <w:rPr>
          <w:rFonts w:ascii="Century Gothic" w:hAnsi="Century Gothic" w:cs="Calibri"/>
          <w:sz w:val="20"/>
          <w:szCs w:val="20"/>
          <w:lang w:val="es-ES_tradnl"/>
        </w:rPr>
        <w:t>-1,21</w:t>
      </w:r>
      <w:r w:rsidR="0009238A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09238A" w:rsidRPr="0009238A">
        <w:rPr>
          <w:rFonts w:ascii="Century Gothic" w:hAnsi="Century Gothic" w:cs="Calibri"/>
          <w:sz w:val="20"/>
          <w:szCs w:val="20"/>
          <w:lang w:val="es-ES_tradnl"/>
        </w:rPr>
        <w:t>-0,69</w:t>
      </w:r>
      <w:r w:rsidR="0009238A">
        <w:rPr>
          <w:rFonts w:ascii="Century Gothic" w:hAnsi="Century Gothic" w:cs="Calibri"/>
          <w:sz w:val="20"/>
          <w:szCs w:val="20"/>
          <w:lang w:val="es-ES_tradnl"/>
        </w:rPr>
        <w:t>%) que presentan una variación negativa. No presentan variación de precios las demás ciudades investigadas por el INEC.</w:t>
      </w:r>
    </w:p>
    <w:p w14:paraId="15692B1D" w14:textId="77777777" w:rsidR="000B2014" w:rsidRPr="000B2014" w:rsidRDefault="000B2014" w:rsidP="000B2014">
      <w:pPr>
        <w:suppressAutoHyphens/>
        <w:spacing w:after="0" w:line="360" w:lineRule="auto"/>
        <w:jc w:val="both"/>
        <w:rPr>
          <w:rFonts w:ascii="Century Gothic" w:hAnsi="Century Gothic" w:cs="Calibri"/>
          <w:sz w:val="6"/>
          <w:szCs w:val="6"/>
          <w:lang w:val="es-ES_tradnl"/>
        </w:rPr>
      </w:pPr>
    </w:p>
    <w:p w14:paraId="2D7AA73B" w14:textId="77777777" w:rsidR="008D7811" w:rsidRDefault="00FC5E40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4BE84738" w14:textId="77777777" w:rsidR="000B2014" w:rsidRPr="000B2014" w:rsidRDefault="000B2014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sz w:val="6"/>
          <w:szCs w:val="6"/>
          <w:lang w:eastAsia="es-ES" w:bidi="es-ES"/>
        </w:rPr>
      </w:pPr>
    </w:p>
    <w:p w14:paraId="468E2AB7" w14:textId="232F8F8A" w:rsidR="0009238A" w:rsidRDefault="0009238A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9238A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(-3,82%)</w:t>
      </w:r>
      <w:r>
        <w:rPr>
          <w:rFonts w:ascii="Century Gothic" w:hAnsi="Century Gothic" w:cs="Calibri"/>
          <w:sz w:val="20"/>
          <w:szCs w:val="20"/>
          <w:lang w:val="es-ES_tradnl"/>
        </w:rPr>
        <w:t>: Presenta variación negativa de precios en varias de las ciudades investigadas, principalmente en Esmeraldas (</w:t>
      </w:r>
      <w:r w:rsidRPr="0009238A">
        <w:rPr>
          <w:rFonts w:ascii="Century Gothic" w:hAnsi="Century Gothic" w:cs="Calibri"/>
          <w:sz w:val="20"/>
          <w:szCs w:val="20"/>
          <w:lang w:val="es-ES_tradnl"/>
        </w:rPr>
        <w:t>-12,30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4377E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24377E">
        <w:rPr>
          <w:rFonts w:ascii="Century Gothic" w:hAnsi="Century Gothic" w:cs="Calibri"/>
          <w:sz w:val="20"/>
          <w:szCs w:val="20"/>
          <w:lang w:val="es-ES_tradnl"/>
        </w:rPr>
        <w:t xml:space="preserve">               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-6,33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-5,13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%). Caso contrario sucede en la ciudad de Quito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1,95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 que presenta variación positiva.</w:t>
      </w:r>
    </w:p>
    <w:p w14:paraId="7EF71B6F" w14:textId="672B05FE" w:rsidR="006B400A" w:rsidRDefault="0009238A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9238A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(-2,59%)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801F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de las ciudades investigadas, principalmente en Loja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-8,26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801F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F0A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-4,09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 y</w:t>
      </w:r>
      <w:r w:rsidR="00AF0A0B">
        <w:rPr>
          <w:rFonts w:ascii="Century Gothic" w:hAnsi="Century Gothic" w:cs="Calibri"/>
          <w:sz w:val="20"/>
          <w:szCs w:val="20"/>
          <w:lang w:val="es-ES_tradnl"/>
        </w:rPr>
        <w:t xml:space="preserve"> Guayaquil        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-3,24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%). Caso contrario sucede en la ciudad de Machala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3,05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 que presenta variación positiva.</w:t>
      </w:r>
    </w:p>
    <w:p w14:paraId="448BAE55" w14:textId="1B969965" w:rsidR="0009238A" w:rsidRDefault="0009238A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09238A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(-2,39%)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variación negativa de precios las ciudades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de Guayaquil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-7,63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801F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 xml:space="preserve"> Machala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-5,50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-2,16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%). Caso contrario sucede en las dem</w:t>
      </w:r>
      <w:r w:rsidR="00713B28">
        <w:rPr>
          <w:rFonts w:ascii="Century Gothic" w:hAnsi="Century Gothic" w:cs="Calibri"/>
          <w:sz w:val="20"/>
          <w:szCs w:val="20"/>
          <w:lang w:val="es-ES_tradnl"/>
        </w:rPr>
        <w:t>ás ciudades investigadas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, principalmente en Santo Domingo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27,08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801F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6B400A" w:rsidRPr="006B400A">
        <w:rPr>
          <w:rFonts w:ascii="Century Gothic" w:hAnsi="Century Gothic" w:cs="Calibri"/>
          <w:sz w:val="20"/>
          <w:szCs w:val="20"/>
          <w:lang w:val="es-ES_tradnl"/>
        </w:rPr>
        <w:t>4,67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713B28">
        <w:rPr>
          <w:rFonts w:ascii="Century Gothic" w:hAnsi="Century Gothic" w:cs="Calibri"/>
          <w:sz w:val="20"/>
          <w:szCs w:val="20"/>
          <w:lang w:val="es-ES_tradnl"/>
        </w:rPr>
        <w:t>Ambato (</w:t>
      </w:r>
      <w:r w:rsidR="00713B28" w:rsidRPr="00713B28">
        <w:rPr>
          <w:rFonts w:ascii="Century Gothic" w:hAnsi="Century Gothic" w:cs="Calibri"/>
          <w:sz w:val="20"/>
          <w:szCs w:val="20"/>
          <w:lang w:val="es-ES_tradnl"/>
        </w:rPr>
        <w:t>3,85</w:t>
      </w:r>
      <w:r w:rsidR="00713B28">
        <w:rPr>
          <w:rFonts w:ascii="Century Gothic" w:hAnsi="Century Gothic" w:cs="Calibri"/>
          <w:sz w:val="20"/>
          <w:szCs w:val="20"/>
          <w:lang w:val="es-ES_tradnl"/>
        </w:rPr>
        <w:t xml:space="preserve">%) que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 xml:space="preserve">presentan </w:t>
      </w:r>
      <w:r w:rsidR="00713B28">
        <w:rPr>
          <w:rFonts w:ascii="Century Gothic" w:hAnsi="Century Gothic" w:cs="Calibri"/>
          <w:sz w:val="20"/>
          <w:szCs w:val="20"/>
          <w:lang w:val="es-ES_tradnl"/>
        </w:rPr>
        <w:t xml:space="preserve">una </w:t>
      </w:r>
      <w:r w:rsidR="006B400A">
        <w:rPr>
          <w:rFonts w:ascii="Century Gothic" w:hAnsi="Century Gothic" w:cs="Calibri"/>
          <w:sz w:val="20"/>
          <w:szCs w:val="20"/>
          <w:lang w:val="es-ES_tradnl"/>
        </w:rPr>
        <w:t>variaci</w:t>
      </w:r>
      <w:r w:rsidR="00713B28">
        <w:rPr>
          <w:rFonts w:ascii="Century Gothic" w:hAnsi="Century Gothic" w:cs="Calibri"/>
          <w:sz w:val="20"/>
          <w:szCs w:val="20"/>
          <w:lang w:val="es-ES_tradnl"/>
        </w:rPr>
        <w:t>ón positiva.</w:t>
      </w:r>
    </w:p>
    <w:sectPr w:rsidR="0009238A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82479" w14:textId="77777777" w:rsidR="009079DB" w:rsidRDefault="009079DB" w:rsidP="00AA3DA1">
      <w:pPr>
        <w:spacing w:after="0" w:line="240" w:lineRule="auto"/>
      </w:pPr>
      <w:r>
        <w:separator/>
      </w:r>
    </w:p>
  </w:endnote>
  <w:endnote w:type="continuationSeparator" w:id="0">
    <w:p w14:paraId="05154B18" w14:textId="77777777" w:rsidR="009079DB" w:rsidRDefault="009079D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0B2014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5BA30" w14:textId="77777777" w:rsidR="009079DB" w:rsidRDefault="009079DB" w:rsidP="00AA3DA1">
      <w:pPr>
        <w:spacing w:after="0" w:line="240" w:lineRule="auto"/>
      </w:pPr>
      <w:r>
        <w:separator/>
      </w:r>
    </w:p>
  </w:footnote>
  <w:footnote w:type="continuationSeparator" w:id="0">
    <w:p w14:paraId="7F3EBC8A" w14:textId="77777777" w:rsidR="009079DB" w:rsidRDefault="009079DB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271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49C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E2FF2-FB3C-404D-A929-D2A91CBD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110</cp:revision>
  <cp:lastPrinted>2011-11-24T21:43:00Z</cp:lastPrinted>
  <dcterms:created xsi:type="dcterms:W3CDTF">2022-06-15T21:30:00Z</dcterms:created>
  <dcterms:modified xsi:type="dcterms:W3CDTF">2022-10-04T03:49:00Z</dcterms:modified>
</cp:coreProperties>
</file>