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</w:t>
      </w: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e variaciones quincenales</w:t>
      </w:r>
    </w:p>
    <w:p w14:paraId="24AB1CAE" w14:textId="77777777" w:rsidR="000C7864" w:rsidRPr="000C7864" w:rsidRDefault="000C7864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73F39676" w:rsidR="00440C1B" w:rsidRDefault="00BB40E6" w:rsidP="00F36AE8">
      <w:pPr>
        <w:spacing w:after="0"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C27BF2">
        <w:rPr>
          <w:rFonts w:ascii="Century Gothic" w:eastAsia="Century Gothic" w:hAnsi="Century Gothic" w:cs="Calibri"/>
          <w:b/>
          <w:color w:val="EE9F00"/>
          <w:lang w:eastAsia="es-ES" w:bidi="es-ES"/>
        </w:rPr>
        <w:t>Octu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0B2014" w:rsidRDefault="00112895" w:rsidP="00F36AE8">
      <w:pPr>
        <w:spacing w:after="0" w:line="360" w:lineRule="auto"/>
        <w:rPr>
          <w:rFonts w:ascii="Century Gothic" w:hAnsi="Century Gothic" w:cs="Calibri"/>
          <w:b/>
          <w:color w:val="EE9F00"/>
          <w:sz w:val="6"/>
          <w:szCs w:val="6"/>
          <w:lang w:val="es-ES_tradnl"/>
        </w:rPr>
      </w:pPr>
    </w:p>
    <w:p w14:paraId="5E6A2967" w14:textId="42108AEA" w:rsidR="003D70FB" w:rsidRDefault="00CA1A53" w:rsidP="00F36AE8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F8A3AD6" w14:textId="77777777" w:rsidR="00BB40E6" w:rsidRDefault="004C437D" w:rsidP="00BB40E6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3,19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>%), Papa chola (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3,08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2,68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>%).</w:t>
      </w:r>
      <w:bookmarkEnd w:id="1"/>
    </w:p>
    <w:p w14:paraId="418DFDE8" w14:textId="166F2139" w:rsidR="00BB40E6" w:rsidRPr="00BB40E6" w:rsidRDefault="00F34010" w:rsidP="00BB40E6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-4,11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-3,17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B40E6" w:rsidRPr="00BB40E6">
        <w:rPr>
          <w:rFonts w:ascii="Century Gothic" w:hAnsi="Century Gothic" w:cs="Calibri"/>
          <w:sz w:val="20"/>
          <w:szCs w:val="20"/>
          <w:lang w:val="es-ES_tradnl"/>
        </w:rPr>
        <w:t>-1,62</w:t>
      </w:r>
      <w:r w:rsidR="00BB40E6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8CE5EEF" w14:textId="77777777" w:rsidR="00F36AE8" w:rsidRPr="000B2014" w:rsidRDefault="00F36AE8" w:rsidP="00F36AE8">
      <w:pPr>
        <w:spacing w:after="0" w:line="360" w:lineRule="auto"/>
        <w:jc w:val="both"/>
        <w:rPr>
          <w:rFonts w:ascii="Century Gothic" w:hAnsi="Century Gothic" w:cs="Calibri"/>
          <w:sz w:val="6"/>
          <w:szCs w:val="6"/>
          <w:lang w:val="es-ES_tradnl"/>
        </w:rPr>
      </w:pPr>
    </w:p>
    <w:bookmarkEnd w:id="2"/>
    <w:bookmarkEnd w:id="3"/>
    <w:p w14:paraId="2BCF6D54" w14:textId="4FA1F952" w:rsidR="00FE4354" w:rsidRDefault="00FC5E40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0699B2D6" w14:textId="77777777" w:rsidR="000B2014" w:rsidRPr="000B2014" w:rsidRDefault="000B2014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6"/>
          <w:szCs w:val="6"/>
          <w:lang w:eastAsia="es-ES" w:bidi="es-ES"/>
        </w:rPr>
      </w:pPr>
    </w:p>
    <w:p w14:paraId="154A92CD" w14:textId="55A894FB" w:rsidR="00E20BB2" w:rsidRDefault="00E20BB2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20BB2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(3,19%)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las ciudades de Guayaquil (</w:t>
      </w:r>
      <w:r w:rsidRPr="00E20BB2">
        <w:rPr>
          <w:rFonts w:ascii="Century Gothic" w:hAnsi="Century Gothic" w:cs="Calibri"/>
          <w:sz w:val="20"/>
          <w:szCs w:val="20"/>
          <w:lang w:val="es-ES_tradnl"/>
        </w:rPr>
        <w:t>8,48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E20BB2">
        <w:rPr>
          <w:rFonts w:ascii="Century Gothic" w:hAnsi="Century Gothic" w:cs="Calibri"/>
          <w:sz w:val="20"/>
          <w:szCs w:val="20"/>
          <w:lang w:val="es-ES_tradnl"/>
        </w:rPr>
        <w:t>4,36</w:t>
      </w:r>
      <w:r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Pr="00E20BB2">
        <w:rPr>
          <w:rFonts w:ascii="Century Gothic" w:hAnsi="Century Gothic" w:cs="Calibri"/>
          <w:sz w:val="20"/>
          <w:szCs w:val="20"/>
          <w:lang w:val="es-ES_tradnl"/>
        </w:rPr>
        <w:t>2,28</w:t>
      </w:r>
      <w:r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Pr="00E20BB2">
        <w:rPr>
          <w:rFonts w:ascii="Century Gothic" w:hAnsi="Century Gothic" w:cs="Calibri"/>
          <w:sz w:val="20"/>
          <w:szCs w:val="20"/>
          <w:lang w:val="es-ES_tradnl"/>
        </w:rPr>
        <w:t>0,67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 xml:space="preserve"> Caso contrario sucede en las demás ciudades investigadas que presentan variación negativa, principalmente en Santo Domingo (</w:t>
      </w:r>
      <w:r w:rsidR="006555CF" w:rsidRPr="006555CF">
        <w:rPr>
          <w:rFonts w:ascii="Century Gothic" w:hAnsi="Century Gothic" w:cs="Calibri"/>
          <w:sz w:val="20"/>
          <w:szCs w:val="20"/>
          <w:lang w:val="es-ES_tradnl"/>
        </w:rPr>
        <w:t>-4,53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6555CF" w:rsidRPr="006555CF">
        <w:rPr>
          <w:rFonts w:ascii="Century Gothic" w:hAnsi="Century Gothic" w:cs="Calibri"/>
          <w:sz w:val="20"/>
          <w:szCs w:val="20"/>
          <w:lang w:val="es-ES_tradnl"/>
        </w:rPr>
        <w:t>-4,06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02C9E46" w14:textId="77777777" w:rsidR="006555CF" w:rsidRDefault="00E20BB2" w:rsidP="006555C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20BB2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(3,08%)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555CF" w:rsidRPr="005F149C">
        <w:rPr>
          <w:rFonts w:ascii="Century Gothic" w:hAnsi="Century Gothic" w:cs="Calibri"/>
          <w:sz w:val="20"/>
          <w:szCs w:val="20"/>
          <w:lang w:val="es-ES_tradnl"/>
        </w:rPr>
        <w:t>Pr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 xml:space="preserve">esenta incremento de precios en </w:t>
      </w:r>
      <w:r w:rsidR="006555CF"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 xml:space="preserve"> de Guayaquil (</w:t>
      </w:r>
      <w:r w:rsidR="006555CF" w:rsidRPr="006555CF">
        <w:rPr>
          <w:rFonts w:ascii="Century Gothic" w:hAnsi="Century Gothic" w:cs="Calibri"/>
          <w:sz w:val="20"/>
          <w:szCs w:val="20"/>
          <w:lang w:val="es-ES_tradnl"/>
        </w:rPr>
        <w:t>9,54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6555CF" w:rsidRPr="006555CF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6555CF" w:rsidRPr="006555CF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6555CF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6555CF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23931604" w14:textId="26C66CD0" w:rsidR="00E20BB2" w:rsidRDefault="00E20BB2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E20BB2">
        <w:rPr>
          <w:rFonts w:ascii="Century Gothic" w:hAnsi="Century Gothic" w:cs="Calibri"/>
          <w:sz w:val="20"/>
          <w:szCs w:val="20"/>
          <w:u w:val="single"/>
          <w:lang w:val="es-ES_tradnl"/>
        </w:rPr>
        <w:t>Fideos (2,68%)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9782B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de precios </w:t>
      </w:r>
      <w:r w:rsidR="004F33F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F5DC9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1F5DC9" w:rsidRPr="00175E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9782B" w:rsidRPr="00175E3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1F5DC9">
        <w:rPr>
          <w:rFonts w:ascii="Century Gothic" w:hAnsi="Century Gothic" w:cs="Calibri"/>
          <w:sz w:val="20"/>
          <w:szCs w:val="20"/>
          <w:lang w:val="es-ES_tradnl"/>
        </w:rPr>
        <w:t xml:space="preserve"> investigadas, principalmente</w:t>
      </w:r>
      <w:r w:rsidR="00E9782B" w:rsidRPr="00175E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F33F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="00E9782B" w:rsidRPr="00E9782B">
        <w:rPr>
          <w:rFonts w:ascii="Century Gothic" w:hAnsi="Century Gothic" w:cs="Calibri"/>
          <w:sz w:val="20"/>
          <w:szCs w:val="20"/>
          <w:lang w:val="es-ES_tradnl"/>
        </w:rPr>
        <w:t>11,87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E9782B" w:rsidRPr="00E9782B">
        <w:rPr>
          <w:rFonts w:ascii="Century Gothic" w:hAnsi="Century Gothic" w:cs="Calibri"/>
          <w:sz w:val="20"/>
          <w:szCs w:val="20"/>
          <w:lang w:val="es-ES_tradnl"/>
        </w:rPr>
        <w:t>7,38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E9782B" w:rsidRPr="00E9782B">
        <w:rPr>
          <w:rFonts w:ascii="Century Gothic" w:hAnsi="Century Gothic" w:cs="Calibri"/>
          <w:sz w:val="20"/>
          <w:szCs w:val="20"/>
          <w:lang w:val="es-ES_tradnl"/>
        </w:rPr>
        <w:t>7,04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(</w:t>
      </w:r>
      <w:r w:rsidR="00E9782B" w:rsidRPr="00E9782B">
        <w:rPr>
          <w:rFonts w:ascii="Century Gothic" w:hAnsi="Century Gothic" w:cs="Calibri"/>
          <w:sz w:val="20"/>
          <w:szCs w:val="20"/>
          <w:lang w:val="es-ES_tradnl"/>
        </w:rPr>
        <w:t>-1,21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E9782B" w:rsidRPr="00E9782B">
        <w:rPr>
          <w:rFonts w:ascii="Century Gothic" w:hAnsi="Century Gothic" w:cs="Calibri"/>
          <w:sz w:val="20"/>
          <w:szCs w:val="20"/>
          <w:lang w:val="es-ES_tradnl"/>
        </w:rPr>
        <w:t>-1,00</w:t>
      </w:r>
      <w:r w:rsidR="001F5DC9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9782B">
        <w:rPr>
          <w:rFonts w:ascii="Century Gothic" w:hAnsi="Century Gothic" w:cs="Calibri"/>
          <w:sz w:val="20"/>
          <w:szCs w:val="20"/>
          <w:lang w:val="es-ES_tradnl"/>
        </w:rPr>
        <w:t>) que presentan variación negativa.</w:t>
      </w:r>
    </w:p>
    <w:p w14:paraId="2D7AA73B" w14:textId="77777777" w:rsidR="008D7811" w:rsidRDefault="00FC5E40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4BE84738" w14:textId="6CA25A30" w:rsidR="000B2014" w:rsidRPr="000B2014" w:rsidRDefault="000B2014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6"/>
          <w:szCs w:val="6"/>
          <w:lang w:eastAsia="es-ES" w:bidi="es-ES"/>
        </w:rPr>
      </w:pPr>
    </w:p>
    <w:p w14:paraId="3681FCBC" w14:textId="7CBDADD2" w:rsidR="006041DD" w:rsidRDefault="006041DD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041DD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(-4,11%)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variación negativa de precios en varias de las ciudades investigadas, principalmente en </w:t>
      </w:r>
      <w:r w:rsidR="00BA2472"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="00BA2472" w:rsidRPr="00BA2472">
        <w:rPr>
          <w:rFonts w:ascii="Century Gothic" w:hAnsi="Century Gothic" w:cs="Calibri"/>
          <w:sz w:val="20"/>
          <w:szCs w:val="20"/>
          <w:lang w:val="es-ES_tradnl"/>
        </w:rPr>
        <w:t>-14,50</w:t>
      </w:r>
      <w:r w:rsidR="00BA2472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BA2472" w:rsidRPr="00BA2472">
        <w:rPr>
          <w:rFonts w:ascii="Century Gothic" w:hAnsi="Century Gothic" w:cs="Calibri"/>
          <w:sz w:val="20"/>
          <w:szCs w:val="20"/>
          <w:lang w:val="es-ES_tradnl"/>
        </w:rPr>
        <w:t>-8,71</w:t>
      </w:r>
      <w:r w:rsidR="00BA2472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BA2472" w:rsidRPr="00BA2472">
        <w:rPr>
          <w:rFonts w:ascii="Century Gothic" w:hAnsi="Century Gothic" w:cs="Calibri"/>
          <w:sz w:val="20"/>
          <w:szCs w:val="20"/>
          <w:lang w:val="es-ES_tradnl"/>
        </w:rPr>
        <w:t>-4,35</w:t>
      </w:r>
      <w:r w:rsidR="00BA2472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BA2472" w:rsidRPr="00BA2472">
        <w:rPr>
          <w:rFonts w:ascii="Century Gothic" w:hAnsi="Century Gothic" w:cs="Calibri"/>
          <w:sz w:val="20"/>
          <w:szCs w:val="20"/>
          <w:lang w:val="es-ES_tradnl"/>
        </w:rPr>
        <w:t>-3,65</w:t>
      </w:r>
      <w:r w:rsidR="00BA2472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BA2472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2100AC9D" w14:textId="31335847" w:rsidR="006A228C" w:rsidRDefault="006041DD" w:rsidP="006A228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041DD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(-3,17%)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4C1D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 xml:space="preserve">Guayaquil </w:t>
      </w:r>
      <w:r w:rsidR="004F33FE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-4,46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%) y Santo Domingo 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-4,35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%). Caso contrario sucede en Machala 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9,31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9,02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6A228C" w:rsidRPr="006A228C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6A228C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positiva. </w:t>
      </w:r>
      <w:r w:rsidR="006A228C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27A5C043" w14:textId="0EB57DAC" w:rsidR="00D02D1C" w:rsidRDefault="006041DD" w:rsidP="00D02D1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041DD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(-1,62%)</w:t>
      </w:r>
      <w:r>
        <w:rPr>
          <w:rFonts w:ascii="Century Gothic" w:hAnsi="Century Gothic" w:cs="Calibri"/>
          <w:sz w:val="20"/>
          <w:szCs w:val="20"/>
          <w:lang w:val="es-ES_tradnl"/>
        </w:rPr>
        <w:t>: Presenta v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 xml:space="preserve">ariación negativa de precios </w:t>
      </w:r>
      <w:r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>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>es de Manta (</w:t>
      </w:r>
      <w:r w:rsidR="00D02D1C" w:rsidRPr="00D02D1C">
        <w:rPr>
          <w:rFonts w:ascii="Century Gothic" w:hAnsi="Century Gothic" w:cs="Calibri"/>
          <w:sz w:val="20"/>
          <w:szCs w:val="20"/>
          <w:lang w:val="es-ES_tradnl"/>
        </w:rPr>
        <w:t>-5,95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D02D1C" w:rsidRPr="00D02D1C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D02D1C" w:rsidRPr="00D02D1C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D02D1C" w:rsidRPr="00D02D1C">
        <w:rPr>
          <w:rFonts w:ascii="Century Gothic" w:hAnsi="Century Gothic" w:cs="Calibri"/>
          <w:sz w:val="20"/>
          <w:szCs w:val="20"/>
          <w:lang w:val="es-ES_tradnl"/>
        </w:rPr>
        <w:t>-0,58</w:t>
      </w:r>
      <w:r w:rsidR="00D02D1C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D02D1C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sectPr w:rsidR="00D02D1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BEA24" w14:textId="77777777" w:rsidR="0083311F" w:rsidRDefault="0083311F" w:rsidP="00AA3DA1">
      <w:pPr>
        <w:spacing w:after="0" w:line="240" w:lineRule="auto"/>
      </w:pPr>
      <w:r>
        <w:separator/>
      </w:r>
    </w:p>
  </w:endnote>
  <w:endnote w:type="continuationSeparator" w:id="0">
    <w:p w14:paraId="2CFE692C" w14:textId="77777777" w:rsidR="0083311F" w:rsidRDefault="0083311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F23D7A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3B2CF" w14:textId="77777777" w:rsidR="0083311F" w:rsidRDefault="0083311F" w:rsidP="00AA3DA1">
      <w:pPr>
        <w:spacing w:after="0" w:line="240" w:lineRule="auto"/>
      </w:pPr>
      <w:r>
        <w:separator/>
      </w:r>
    </w:p>
  </w:footnote>
  <w:footnote w:type="continuationSeparator" w:id="0">
    <w:p w14:paraId="34D0DE44" w14:textId="77777777" w:rsidR="0083311F" w:rsidRDefault="0083311F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271"/>
    <w:rsid w:val="000653C4"/>
    <w:rsid w:val="0006592F"/>
    <w:rsid w:val="00065A1F"/>
    <w:rsid w:val="000660F6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50AB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33FE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6F24-8D82-4BDC-BA07-5081EE6B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131</cp:revision>
  <cp:lastPrinted>2011-11-24T21:43:00Z</cp:lastPrinted>
  <dcterms:created xsi:type="dcterms:W3CDTF">2022-06-15T21:30:00Z</dcterms:created>
  <dcterms:modified xsi:type="dcterms:W3CDTF">2022-11-02T12:58:00Z</dcterms:modified>
</cp:coreProperties>
</file>