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F30433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Primera</w:t>
      </w:r>
      <w:r w:rsidR="00C43CAA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Diciembre</w:t>
      </w:r>
      <w:r w:rsidR="00BB0B26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65444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B5D54">
        <w:rPr>
          <w:rFonts w:ascii="Century Gothic" w:eastAsia="Century Gothic" w:hAnsi="Century Gothic" w:cs="Calibri"/>
          <w:b/>
          <w:color w:val="595959"/>
          <w:lang w:eastAsia="es-ES" w:bidi="es-ES"/>
        </w:rPr>
        <w:t>2019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BB77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BB77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B77F1" w:rsidRPr="00BB77F1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C33AE8" w:rsidRP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84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BB77F1" w:rsidRPr="00A50E1F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 (2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,9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2C4929" w:rsidRPr="002C49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53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BB77F1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B77F1" w:rsidRPr="00E1007F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6,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54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7358B9" w:rsidRPr="007358B9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87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BB77F1" w:rsidRPr="00BB77F1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10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625110" w:rsidRDefault="00547504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47504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(3,84%)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1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en </w:t>
      </w:r>
      <w:r w:rsidR="002B1DDC">
        <w:rPr>
          <w:rFonts w:ascii="Century Gothic" w:hAnsi="Century Gothic" w:cs="Calibri"/>
          <w:sz w:val="20"/>
          <w:szCs w:val="20"/>
          <w:lang w:val="es-ES_tradnl"/>
        </w:rPr>
        <w:t>casi todas las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4A146E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AF6A91">
        <w:rPr>
          <w:rFonts w:ascii="Century Gothic" w:hAnsi="Century Gothic" w:cs="Calibri"/>
          <w:sz w:val="20"/>
          <w:szCs w:val="20"/>
          <w:lang w:val="es-ES_tradnl"/>
        </w:rPr>
        <w:t xml:space="preserve">,  excepto  en  </w:t>
      </w:r>
      <w:r w:rsidR="002B1DDC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E1491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1643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2B1DDC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1491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B1DDC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14917">
        <w:rPr>
          <w:rFonts w:ascii="Century Gothic" w:hAnsi="Century Gothic" w:cs="Calibri"/>
          <w:sz w:val="20"/>
          <w:szCs w:val="20"/>
          <w:lang w:val="es-ES_tradnl"/>
        </w:rPr>
        <w:t>3%</w:t>
      </w:r>
      <w:r w:rsidR="00141DC1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B23CB6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84604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4A146E" w:rsidRDefault="00547504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47504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(2,90%)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D5954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6815A3">
        <w:rPr>
          <w:rFonts w:ascii="Century Gothic" w:hAnsi="Century Gothic" w:cs="Calibri"/>
          <w:sz w:val="20"/>
          <w:szCs w:val="20"/>
          <w:lang w:val="es-ES_tradnl"/>
        </w:rPr>
        <w:t xml:space="preserve">la mayoría </w:t>
      </w:r>
      <w:r w:rsidR="000C268A">
        <w:rPr>
          <w:rFonts w:ascii="Century Gothic" w:hAnsi="Century Gothic" w:cs="Calibri"/>
          <w:sz w:val="20"/>
          <w:szCs w:val="20"/>
          <w:lang w:val="es-ES_tradnl"/>
        </w:rPr>
        <w:t>d</w:t>
      </w:r>
      <w:r w:rsidR="00923265">
        <w:rPr>
          <w:rFonts w:ascii="Century Gothic" w:hAnsi="Century Gothic" w:cs="Calibri"/>
          <w:sz w:val="20"/>
          <w:szCs w:val="20"/>
          <w:lang w:val="es-ES_tradnl"/>
        </w:rPr>
        <w:t xml:space="preserve">e </w:t>
      </w:r>
      <w:r w:rsidR="000C268A">
        <w:rPr>
          <w:rFonts w:ascii="Century Gothic" w:hAnsi="Century Gothic" w:cs="Calibri"/>
          <w:sz w:val="20"/>
          <w:szCs w:val="20"/>
          <w:lang w:val="es-ES_tradnl"/>
        </w:rPr>
        <w:t xml:space="preserve">las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6D13C7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es investigadas, excepto </w:t>
      </w:r>
      <w:r w:rsidR="00BA17CD" w:rsidRPr="00BA17C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B40FE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064A7">
        <w:rPr>
          <w:rFonts w:ascii="Century Gothic" w:hAnsi="Century Gothic" w:cs="Calibri"/>
          <w:sz w:val="20"/>
          <w:szCs w:val="20"/>
          <w:lang w:val="es-ES_tradnl"/>
        </w:rPr>
        <w:t>Ambato (-2,70%)</w:t>
      </w:r>
      <w:r w:rsidR="0078250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9E670D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FA1D9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064A7">
        <w:rPr>
          <w:rFonts w:ascii="Century Gothic" w:hAnsi="Century Gothic" w:cs="Calibri"/>
          <w:sz w:val="20"/>
          <w:szCs w:val="20"/>
          <w:lang w:val="es-ES_tradnl"/>
        </w:rPr>
        <w:t>Manta (-0,52%)</w:t>
      </w:r>
      <w:r w:rsidR="009E670D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BA17CD" w:rsidRDefault="00547504" w:rsidP="00BA17CD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47504">
        <w:rPr>
          <w:rFonts w:ascii="Century Gothic" w:hAnsi="Century Gothic" w:cs="Calibri"/>
          <w:sz w:val="20"/>
          <w:szCs w:val="20"/>
          <w:u w:val="single"/>
          <w:lang w:val="es-ES_tradnl"/>
        </w:rPr>
        <w:t>Fideos (1,53%)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DC0B32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075309">
        <w:rPr>
          <w:rFonts w:ascii="Century Gothic" w:hAnsi="Century Gothic" w:cs="Calibri"/>
          <w:sz w:val="20"/>
          <w:szCs w:val="20"/>
          <w:lang w:val="es-ES_tradnl"/>
        </w:rPr>
        <w:t xml:space="preserve"> de las</w:t>
      </w:r>
      <w:r w:rsidR="00BE3198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investigadas, excepto e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ED117C">
        <w:rPr>
          <w:rFonts w:ascii="Century Gothic" w:hAnsi="Century Gothic" w:cs="Calibri"/>
          <w:sz w:val="20"/>
          <w:szCs w:val="20"/>
          <w:lang w:val="es-ES_tradnl"/>
        </w:rPr>
        <w:t xml:space="preserve">Santo Domingo (-20,16%). </w:t>
      </w:r>
      <w:r w:rsidR="006815A3">
        <w:rPr>
          <w:rFonts w:ascii="Century Gothic" w:hAnsi="Century Gothic" w:cs="Calibri"/>
          <w:sz w:val="20"/>
          <w:szCs w:val="20"/>
          <w:lang w:val="es-ES_tradnl"/>
        </w:rPr>
        <w:t xml:space="preserve">Las ciudades de </w:t>
      </w:r>
      <w:r w:rsidR="00ED117C">
        <w:rPr>
          <w:rFonts w:ascii="Century Gothic" w:hAnsi="Century Gothic" w:cs="Calibri"/>
          <w:sz w:val="20"/>
          <w:szCs w:val="20"/>
          <w:lang w:val="es-ES_tradnl"/>
        </w:rPr>
        <w:t>Machala, Manta</w:t>
      </w:r>
      <w:r w:rsidR="006815A3">
        <w:rPr>
          <w:rFonts w:ascii="Century Gothic" w:hAnsi="Century Gothic" w:cs="Calibri"/>
          <w:sz w:val="20"/>
          <w:szCs w:val="20"/>
          <w:lang w:val="es-ES_tradnl"/>
        </w:rPr>
        <w:t xml:space="preserve"> y </w:t>
      </w:r>
      <w:r w:rsidR="00ED117C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6815A3">
        <w:rPr>
          <w:rFonts w:ascii="Century Gothic" w:hAnsi="Century Gothic" w:cs="Calibri"/>
          <w:sz w:val="20"/>
          <w:szCs w:val="20"/>
          <w:lang w:val="es-ES_tradnl"/>
        </w:rPr>
        <w:t xml:space="preserve"> no presentaron variación.</w:t>
      </w:r>
    </w:p>
    <w:p w:rsidR="007F1E8C" w:rsidRPr="007F1E8C" w:rsidRDefault="007F1E8C" w:rsidP="00BA17CD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D252B7" w:rsidRPr="008B52AE" w:rsidRDefault="000A3D37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A3D37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(-6,54%)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8028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63F4B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C0B32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5E6F3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>de las</w:t>
      </w:r>
      <w:r w:rsidR="00B1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ciudades investigadas, excepto en </w:t>
      </w:r>
      <w:r w:rsidR="00193F1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358B9">
        <w:rPr>
          <w:rFonts w:ascii="Century Gothic" w:hAnsi="Century Gothic" w:cs="Calibri"/>
          <w:sz w:val="20"/>
          <w:szCs w:val="20"/>
          <w:lang w:val="es-ES_tradnl"/>
        </w:rPr>
        <w:t xml:space="preserve">Santo Domingo (22,39%); </w:t>
      </w:r>
      <w:r w:rsidR="00DC0B32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216AB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C6563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216AB6">
        <w:rPr>
          <w:rFonts w:ascii="Century Gothic" w:hAnsi="Century Gothic" w:cs="Calibri"/>
          <w:sz w:val="20"/>
          <w:szCs w:val="20"/>
          <w:lang w:val="es-ES_tradnl"/>
        </w:rPr>
        <w:t>,97</w:t>
      </w:r>
      <w:r w:rsidR="004C6F1C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7358B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6563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7358B9">
        <w:rPr>
          <w:rFonts w:ascii="Century Gothic" w:hAnsi="Century Gothic" w:cs="Calibri"/>
          <w:sz w:val="20"/>
          <w:szCs w:val="20"/>
          <w:lang w:val="es-ES_tradnl"/>
        </w:rPr>
        <w:t>Esmeraldas (1,29%)</w:t>
      </w:r>
      <w:r w:rsidR="007C6563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Default="007358B9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3835F2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(-5,87%)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E1508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AE1508">
        <w:rPr>
          <w:rFonts w:ascii="Century Gothic" w:hAnsi="Century Gothic" w:cs="Calibri"/>
          <w:sz w:val="20"/>
          <w:szCs w:val="20"/>
          <w:lang w:val="es-ES_tradnl"/>
        </w:rPr>
        <w:t xml:space="preserve">casi todas 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investigadas; excepto 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AE1508">
        <w:rPr>
          <w:rFonts w:ascii="Century Gothic" w:hAnsi="Century Gothic" w:cs="Calibri"/>
          <w:sz w:val="20"/>
          <w:szCs w:val="20"/>
          <w:lang w:val="es-ES_tradnl"/>
        </w:rPr>
        <w:t xml:space="preserve"> Quito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AE1508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>,2</w:t>
      </w:r>
      <w:r w:rsidR="00AE1508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926CF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F27C77" w:rsidRDefault="000A3D37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0A3D37">
        <w:rPr>
          <w:rFonts w:ascii="Century Gothic" w:hAnsi="Century Gothic" w:cs="Calibri"/>
          <w:sz w:val="20"/>
          <w:szCs w:val="20"/>
          <w:u w:val="single"/>
          <w:lang w:val="es-ES_tradnl"/>
        </w:rPr>
        <w:t>Ce</w:t>
      </w:r>
      <w:r w:rsidR="000E1EDC">
        <w:rPr>
          <w:rFonts w:ascii="Century Gothic" w:hAnsi="Century Gothic" w:cs="Calibri"/>
          <w:sz w:val="20"/>
          <w:szCs w:val="20"/>
          <w:u w:val="single"/>
          <w:lang w:val="es-ES_tradnl"/>
        </w:rPr>
        <w:t>bolla paiteña colorada (-4,10%)</w:t>
      </w:r>
      <w:bookmarkStart w:id="0" w:name="_GoBack"/>
      <w:bookmarkEnd w:id="0"/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831158">
        <w:rPr>
          <w:rFonts w:ascii="Century Gothic" w:hAnsi="Century Gothic" w:cs="Calibri"/>
          <w:sz w:val="20"/>
          <w:szCs w:val="20"/>
          <w:lang w:val="es-ES_tradnl"/>
        </w:rPr>
        <w:t xml:space="preserve"> en varias 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>d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e las</w:t>
      </w:r>
      <w:r w:rsidR="00C919E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4C510E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>investigadas, excepto en</w:t>
      </w:r>
      <w:r w:rsidR="006729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A39D0">
        <w:rPr>
          <w:rFonts w:ascii="Century Gothic" w:hAnsi="Century Gothic" w:cs="Calibri"/>
          <w:sz w:val="20"/>
          <w:szCs w:val="20"/>
          <w:lang w:val="es-ES_tradnl"/>
        </w:rPr>
        <w:t>Ambato (7,70%); Machala</w:t>
      </w:r>
      <w:r w:rsidR="0083115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DA39D0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83115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A39D0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831158">
        <w:rPr>
          <w:rFonts w:ascii="Century Gothic" w:hAnsi="Century Gothic" w:cs="Calibri"/>
          <w:sz w:val="20"/>
          <w:szCs w:val="20"/>
          <w:lang w:val="es-ES_tradnl"/>
        </w:rPr>
        <w:t xml:space="preserve">7%); y, </w:t>
      </w:r>
      <w:r w:rsidR="00DA39D0">
        <w:rPr>
          <w:rFonts w:ascii="Century Gothic" w:hAnsi="Century Gothic" w:cs="Calibri"/>
          <w:sz w:val="20"/>
          <w:szCs w:val="20"/>
          <w:lang w:val="es-ES_tradnl"/>
        </w:rPr>
        <w:t xml:space="preserve">Quito 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A39D0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76C2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A39D0">
        <w:rPr>
          <w:rFonts w:ascii="Century Gothic" w:hAnsi="Century Gothic" w:cs="Calibri"/>
          <w:sz w:val="20"/>
          <w:szCs w:val="20"/>
          <w:lang w:val="es-ES_tradnl"/>
        </w:rPr>
        <w:t>55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7294D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AE1E0B">
        <w:rPr>
          <w:rFonts w:ascii="Century Gothic" w:hAnsi="Century Gothic" w:cs="Calibri"/>
          <w:sz w:val="20"/>
          <w:szCs w:val="20"/>
          <w:lang w:val="es-ES_tradnl"/>
        </w:rPr>
        <w:tab/>
      </w:r>
      <w:r w:rsidR="006729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213" w:rsidRDefault="00161213" w:rsidP="00AA3DA1">
      <w:pPr>
        <w:spacing w:after="0" w:line="240" w:lineRule="auto"/>
      </w:pPr>
      <w:r>
        <w:separator/>
      </w:r>
    </w:p>
  </w:endnote>
  <w:endnote w:type="continuationSeparator" w:id="0">
    <w:p w:rsidR="00161213" w:rsidRDefault="00161213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213" w:rsidRDefault="00161213" w:rsidP="00AA3DA1">
      <w:pPr>
        <w:spacing w:after="0" w:line="240" w:lineRule="auto"/>
      </w:pPr>
      <w:r>
        <w:separator/>
      </w:r>
    </w:p>
  </w:footnote>
  <w:footnote w:type="continuationSeparator" w:id="0">
    <w:p w:rsidR="00161213" w:rsidRDefault="00161213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F30433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Primera</w:t>
                          </w:r>
                          <w:r w:rsidR="00C43CAA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217E03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Diciembre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3B5D54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F30433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Primera</w:t>
                    </w:r>
                    <w:r w:rsidR="00C43CAA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217E03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Diciembre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3B5D54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2019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6A9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80288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1B58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A39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7E0"/>
    <w:rsid w:val="00152CDB"/>
    <w:rsid w:val="00156E18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B7EF0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39FB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7E03"/>
    <w:rsid w:val="00217E7F"/>
    <w:rsid w:val="002205C7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FDF"/>
    <w:rsid w:val="002B0138"/>
    <w:rsid w:val="002B0AC6"/>
    <w:rsid w:val="002B1310"/>
    <w:rsid w:val="002B1DDC"/>
    <w:rsid w:val="002B208C"/>
    <w:rsid w:val="002B5BE4"/>
    <w:rsid w:val="002B69C5"/>
    <w:rsid w:val="002B6A00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29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C8D"/>
    <w:rsid w:val="002F13C7"/>
    <w:rsid w:val="002F2F31"/>
    <w:rsid w:val="002F305A"/>
    <w:rsid w:val="002F30A1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921"/>
    <w:rsid w:val="00332CE0"/>
    <w:rsid w:val="00333373"/>
    <w:rsid w:val="0033380C"/>
    <w:rsid w:val="0033595C"/>
    <w:rsid w:val="003360F9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375"/>
    <w:rsid w:val="003502A1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388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2A4"/>
    <w:rsid w:val="0042238F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766"/>
    <w:rsid w:val="00484AC1"/>
    <w:rsid w:val="00484CF0"/>
    <w:rsid w:val="0048535A"/>
    <w:rsid w:val="004869C7"/>
    <w:rsid w:val="00486EBD"/>
    <w:rsid w:val="00490187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AE0"/>
    <w:rsid w:val="004A4139"/>
    <w:rsid w:val="004A493C"/>
    <w:rsid w:val="004A7067"/>
    <w:rsid w:val="004A784A"/>
    <w:rsid w:val="004B0565"/>
    <w:rsid w:val="004B057E"/>
    <w:rsid w:val="004B06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43A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0B9E"/>
    <w:rsid w:val="00591427"/>
    <w:rsid w:val="005926CF"/>
    <w:rsid w:val="00592774"/>
    <w:rsid w:val="005933F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E2B9B"/>
    <w:rsid w:val="005E2FAB"/>
    <w:rsid w:val="005E51FF"/>
    <w:rsid w:val="005E6F32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5A3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B9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47360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6563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1F7A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1AC"/>
    <w:rsid w:val="00887091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6E"/>
    <w:rsid w:val="00A00A2A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5B3"/>
    <w:rsid w:val="00A34E61"/>
    <w:rsid w:val="00A358FB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50E1F"/>
    <w:rsid w:val="00A5152F"/>
    <w:rsid w:val="00A51AAC"/>
    <w:rsid w:val="00A5291C"/>
    <w:rsid w:val="00A539D9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67AE3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508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CB6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0FE6"/>
    <w:rsid w:val="00B41A7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148C"/>
    <w:rsid w:val="00BC1879"/>
    <w:rsid w:val="00BC246F"/>
    <w:rsid w:val="00BC3ADD"/>
    <w:rsid w:val="00BC4051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E05A4"/>
    <w:rsid w:val="00BE0B07"/>
    <w:rsid w:val="00BE1588"/>
    <w:rsid w:val="00BE15CB"/>
    <w:rsid w:val="00BE16DD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6F3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E37"/>
    <w:rsid w:val="00C12129"/>
    <w:rsid w:val="00C1372D"/>
    <w:rsid w:val="00C144BC"/>
    <w:rsid w:val="00C14657"/>
    <w:rsid w:val="00C159D1"/>
    <w:rsid w:val="00C15A77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29B5"/>
    <w:rsid w:val="00D82C3D"/>
    <w:rsid w:val="00D8305E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0B32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1007F"/>
    <w:rsid w:val="00E10129"/>
    <w:rsid w:val="00E115DF"/>
    <w:rsid w:val="00E1233A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7C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CB326-1E06-41CD-A2BA-5AA33749A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38</cp:revision>
  <cp:lastPrinted>2011-11-24T21:43:00Z</cp:lastPrinted>
  <dcterms:created xsi:type="dcterms:W3CDTF">2019-11-14T13:16:00Z</dcterms:created>
  <dcterms:modified xsi:type="dcterms:W3CDTF">2019-12-11T20:04:00Z</dcterms:modified>
</cp:coreProperties>
</file>