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bookmarkStart w:id="0" w:name="_GoBack"/>
      <w:bookmarkEnd w:id="0"/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F57836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Diciem</w:t>
      </w:r>
      <w:r w:rsidR="00D01D8C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F636F8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4B96" w:rsidRPr="00244B96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4" w:name="_Hlk88081467"/>
      <w:r w:rsidR="00244B96" w:rsidRPr="00244B96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20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bookmarkEnd w:id="4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5" w:name="_Hlk39419608"/>
      <w:r w:rsidR="00244B96" w:rsidRPr="00244B96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28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5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4B96" w:rsidRPr="00244B96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>39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D713B9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713B9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(1,70%)</w:t>
      </w:r>
      <w:r w:rsidR="00F27C77" w:rsidRPr="00734DC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A2258A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2258A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2258A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2258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11BF8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>o presentan variación de precios las ciudades de</w:t>
      </w:r>
      <w:r w:rsidR="00611BF8">
        <w:rPr>
          <w:rFonts w:ascii="Century Gothic" w:hAnsi="Century Gothic" w:cs="Calibri"/>
          <w:sz w:val="20"/>
          <w:szCs w:val="20"/>
          <w:lang w:val="es-ES_tradnl"/>
        </w:rPr>
        <w:t xml:space="preserve"> Guayaquil,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2258A">
        <w:rPr>
          <w:rFonts w:ascii="Century Gothic" w:hAnsi="Century Gothic" w:cs="Calibri"/>
          <w:sz w:val="20"/>
          <w:szCs w:val="20"/>
          <w:lang w:val="es-ES_tradnl"/>
        </w:rPr>
        <w:t xml:space="preserve">Manta, 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A2258A">
        <w:rPr>
          <w:rFonts w:ascii="Century Gothic" w:hAnsi="Century Gothic" w:cs="Calibri"/>
          <w:sz w:val="20"/>
          <w:szCs w:val="20"/>
          <w:lang w:val="es-ES_tradnl"/>
        </w:rPr>
        <w:t>, Loja y Cuenca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E27815" w:rsidRDefault="00D713B9" w:rsidP="00E27815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713B9">
        <w:rPr>
          <w:rFonts w:ascii="Century Gothic" w:hAnsi="Century Gothic" w:cs="Calibri"/>
          <w:sz w:val="20"/>
          <w:szCs w:val="20"/>
          <w:u w:val="single"/>
          <w:lang w:val="es-ES_tradnl"/>
        </w:rPr>
        <w:t>Fideos (1,53%)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investigadas; excepto en 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9%)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>0,84%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0A2978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No presenta variación de precios la ciudad de Loja.</w:t>
      </w:r>
    </w:p>
    <w:p w:rsidR="00917ADF" w:rsidRDefault="00D713B9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713B9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(0,88%)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17AD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 xml:space="preserve">la ciudad de Guayaquil con un (3,09%). </w:t>
      </w:r>
      <w:r w:rsidR="003D0657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D0657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</w:t>
      </w:r>
      <w:r w:rsidR="00255928">
        <w:rPr>
          <w:rFonts w:ascii="Century Gothic" w:hAnsi="Century Gothic" w:cs="Calibri"/>
          <w:sz w:val="20"/>
          <w:szCs w:val="20"/>
          <w:lang w:val="es-ES_tradnl"/>
        </w:rPr>
        <w:t xml:space="preserve">el resto de ciudades. </w:t>
      </w:r>
    </w:p>
    <w:p w:rsidR="000A3715" w:rsidRDefault="000A3715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D713B9" w:rsidP="00047E7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713B9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(-9,20%)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702242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C316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7E07E2" w:rsidRPr="00702242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AC36F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5E49BE">
        <w:rPr>
          <w:rFonts w:ascii="Century Gothic" w:hAnsi="Century Gothic" w:cs="Calibri"/>
          <w:sz w:val="20"/>
          <w:szCs w:val="20"/>
          <w:lang w:val="es-ES_tradnl"/>
        </w:rPr>
        <w:t xml:space="preserve">principalmente </w:t>
      </w:r>
      <w:r w:rsidR="00FB035B" w:rsidRPr="00702242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5E49BE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C36F3" w:rsidRPr="0070224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E49BE">
        <w:rPr>
          <w:rFonts w:ascii="Century Gothic" w:hAnsi="Century Gothic" w:cs="Calibri"/>
          <w:sz w:val="20"/>
          <w:szCs w:val="20"/>
          <w:lang w:val="es-ES_tradnl"/>
        </w:rPr>
        <w:t>-20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E49BE">
        <w:rPr>
          <w:rFonts w:ascii="Century Gothic" w:hAnsi="Century Gothic" w:cs="Calibri"/>
          <w:sz w:val="20"/>
          <w:szCs w:val="20"/>
          <w:lang w:val="es-ES_tradnl"/>
        </w:rPr>
        <w:t>00</w:t>
      </w:r>
      <w:r w:rsidR="00AC36F3" w:rsidRPr="00702242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80DD4" w:rsidRPr="00702242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 Guayaquil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E49BE">
        <w:rPr>
          <w:rFonts w:ascii="Century Gothic" w:hAnsi="Century Gothic" w:cs="Calibri"/>
          <w:sz w:val="20"/>
          <w:szCs w:val="20"/>
          <w:lang w:val="es-ES_tradnl"/>
        </w:rPr>
        <w:t>-13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E49BE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E49BE">
        <w:rPr>
          <w:rFonts w:ascii="Century Gothic" w:hAnsi="Century Gothic" w:cs="Calibri"/>
          <w:sz w:val="20"/>
          <w:szCs w:val="20"/>
          <w:lang w:val="es-ES_tradnl"/>
        </w:rPr>
        <w:t xml:space="preserve">; y, Quito </w:t>
      </w:r>
      <w:r w:rsidR="00941BBB">
        <w:rPr>
          <w:rFonts w:ascii="Century Gothic" w:hAnsi="Century Gothic" w:cs="Calibri"/>
          <w:sz w:val="20"/>
          <w:szCs w:val="20"/>
          <w:lang w:val="es-ES_tradnl"/>
        </w:rPr>
        <w:t xml:space="preserve">                      </w:t>
      </w:r>
      <w:r w:rsidR="005E49BE">
        <w:rPr>
          <w:rFonts w:ascii="Century Gothic" w:hAnsi="Century Gothic" w:cs="Calibri"/>
          <w:sz w:val="20"/>
          <w:szCs w:val="20"/>
          <w:lang w:val="es-ES_tradnl"/>
        </w:rPr>
        <w:t>(-13,67%)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. No presenta</w:t>
      </w:r>
      <w:r w:rsidR="00941BBB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941BBB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91657">
        <w:rPr>
          <w:rFonts w:ascii="Century Gothic" w:hAnsi="Century Gothic" w:cs="Calibri"/>
          <w:sz w:val="20"/>
          <w:szCs w:val="20"/>
          <w:lang w:val="es-ES_tradnl"/>
        </w:rPr>
        <w:t>ciudades de</w:t>
      </w:r>
      <w:r w:rsidR="00941BBB">
        <w:rPr>
          <w:rFonts w:ascii="Century Gothic" w:hAnsi="Century Gothic" w:cs="Calibri"/>
          <w:sz w:val="20"/>
          <w:szCs w:val="20"/>
          <w:lang w:val="es-ES_tradnl"/>
        </w:rPr>
        <w:t xml:space="preserve"> Manta</w:t>
      </w:r>
      <w:r w:rsidR="00657D7A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941BBB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657D7A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047E73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</w:p>
    <w:p w:rsidR="004672EF" w:rsidRDefault="00D713B9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713B9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(-4,28%)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FF1F0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 xml:space="preserve">varias de las ciudades investigadas; excepto en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Manta (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>15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32D3B">
        <w:rPr>
          <w:rFonts w:ascii="Century Gothic" w:hAnsi="Century Gothic" w:cs="Calibri"/>
          <w:sz w:val="20"/>
          <w:szCs w:val="20"/>
          <w:lang w:val="es-ES_tradnl"/>
        </w:rPr>
        <w:t xml:space="preserve"> Loja (6,79%), Quito (4,74%), Cuenca (4,71%), Santo Domingo (4,44%); y, Machala (1,47%)</w:t>
      </w:r>
      <w:r w:rsidR="005D724B">
        <w:rPr>
          <w:rFonts w:ascii="Century Gothic" w:hAnsi="Century Gothic" w:cs="Calibri"/>
          <w:sz w:val="20"/>
          <w:szCs w:val="20"/>
          <w:lang w:val="es-ES_tradnl"/>
        </w:rPr>
        <w:t xml:space="preserve">.  </w:t>
      </w:r>
    </w:p>
    <w:p w:rsidR="000229F4" w:rsidRDefault="00D713B9" w:rsidP="000229F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713B9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(-3,39%)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22B1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121F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en algunas de las ciudades investigadas; excepto en </w:t>
      </w:r>
      <w:r w:rsidR="00DD7832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D7832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D7832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CE1D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No presenta variación de precios las ciudades de Esmeraldas, Ma</w:t>
      </w:r>
      <w:r w:rsidR="00DD783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, Santo Domingo</w:t>
      </w:r>
      <w:r w:rsidR="00DD783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Loja y </w:t>
      </w:r>
      <w:r w:rsidR="00DD7832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C23131" w:rsidRDefault="00C23131" w:rsidP="00A809A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AB2" w:rsidRDefault="00CB0AB2" w:rsidP="00AA3DA1">
      <w:pPr>
        <w:spacing w:after="0" w:line="240" w:lineRule="auto"/>
      </w:pPr>
      <w:r>
        <w:separator/>
      </w:r>
    </w:p>
  </w:endnote>
  <w:endnote w:type="continuationSeparator" w:id="0">
    <w:p w:rsidR="00CB0AB2" w:rsidRDefault="00CB0AB2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611BF8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AB2" w:rsidRDefault="00CB0AB2" w:rsidP="00AA3DA1">
      <w:pPr>
        <w:spacing w:after="0" w:line="240" w:lineRule="auto"/>
      </w:pPr>
      <w:r>
        <w:separator/>
      </w:r>
    </w:p>
  </w:footnote>
  <w:footnote w:type="continuationSeparator" w:id="0">
    <w:p w:rsidR="00CB0AB2" w:rsidRDefault="00CB0AB2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5997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701EE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3E68"/>
    <w:rsid w:val="003C45A1"/>
    <w:rsid w:val="003C524F"/>
    <w:rsid w:val="003C567A"/>
    <w:rsid w:val="003C5690"/>
    <w:rsid w:val="003C5E18"/>
    <w:rsid w:val="003C60F7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1EE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D78"/>
    <w:rsid w:val="005D0E13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1BF8"/>
    <w:rsid w:val="00611E23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5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DA9"/>
    <w:rsid w:val="00770832"/>
    <w:rsid w:val="007710FB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C7462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B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B2"/>
    <w:rsid w:val="00CB0AD9"/>
    <w:rsid w:val="00CB0D9F"/>
    <w:rsid w:val="00CB0EAC"/>
    <w:rsid w:val="00CB1109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0D8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13F4D19-4B17-4E73-AA93-0D07AD1A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00B2C-CF72-4433-87E5-FFDF55FA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Franklin Tenesaca</cp:lastModifiedBy>
  <cp:revision>294</cp:revision>
  <cp:lastPrinted>2011-11-24T21:43:00Z</cp:lastPrinted>
  <dcterms:created xsi:type="dcterms:W3CDTF">2021-06-29T19:08:00Z</dcterms:created>
  <dcterms:modified xsi:type="dcterms:W3CDTF">2021-12-13T15:37:00Z</dcterms:modified>
</cp:coreProperties>
</file>