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20E90" w:rsidRPr="008D24DA" w:rsidRDefault="00420E90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2051E6" w:rsidRDefault="002A46C9" w:rsidP="002051E6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presenta disminución </w:t>
      </w:r>
      <w:r w:rsidR="002051E6">
        <w:rPr>
          <w:sz w:val="24"/>
          <w:szCs w:val="24"/>
          <w:lang w:val="es-MX"/>
        </w:rPr>
        <w:t>de precios desde la fábrica;</w:t>
      </w:r>
      <w:r w:rsidR="002051E6" w:rsidRPr="00D92F06">
        <w:rPr>
          <w:sz w:val="24"/>
          <w:szCs w:val="24"/>
          <w:lang w:val="es-MX"/>
        </w:rPr>
        <w:t xml:space="preserve"> </w:t>
      </w:r>
      <w:r w:rsidR="003E761A">
        <w:rPr>
          <w:sz w:val="24"/>
          <w:szCs w:val="24"/>
          <w:lang w:val="es-MX"/>
        </w:rPr>
        <w:t>excepto en Esmeraldas y Loja donde</w:t>
      </w:r>
      <w:r>
        <w:rPr>
          <w:sz w:val="24"/>
          <w:szCs w:val="24"/>
          <w:lang w:val="es-MX"/>
        </w:rPr>
        <w:t xml:space="preserve"> muestran una tendencia al alza</w:t>
      </w:r>
      <w:r w:rsidR="002051E6">
        <w:rPr>
          <w:sz w:val="24"/>
          <w:szCs w:val="24"/>
          <w:lang w:val="es-MX"/>
        </w:rPr>
        <w:t xml:space="preserve">; y en </w:t>
      </w:r>
      <w:r w:rsidR="002051E6" w:rsidRPr="00D92F06">
        <w:rPr>
          <w:sz w:val="24"/>
          <w:szCs w:val="24"/>
          <w:lang w:val="es-MX"/>
        </w:rPr>
        <w:t>el resto de ciudades permanece estable.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>Arroz</w:t>
      </w:r>
      <w:r w:rsidR="003E761A">
        <w:rPr>
          <w:sz w:val="24"/>
          <w:szCs w:val="24"/>
          <w:lang w:val="es-MX"/>
        </w:rPr>
        <w:t xml:space="preserve"> flor, muestra una disminución</w:t>
      </w:r>
      <w:r w:rsidRPr="003C2DAA">
        <w:rPr>
          <w:sz w:val="24"/>
          <w:szCs w:val="24"/>
          <w:lang w:val="es-MX"/>
        </w:rPr>
        <w:t xml:space="preserve"> en su precio, debido </w:t>
      </w:r>
      <w:r>
        <w:rPr>
          <w:sz w:val="24"/>
          <w:szCs w:val="24"/>
          <w:lang w:val="es-MX"/>
        </w:rPr>
        <w:t>a</w:t>
      </w:r>
      <w:r w:rsidR="003E761A">
        <w:rPr>
          <w:sz w:val="24"/>
          <w:szCs w:val="24"/>
          <w:lang w:val="es-MX"/>
        </w:rPr>
        <w:t xml:space="preserve"> la</w:t>
      </w:r>
      <w:r>
        <w:rPr>
          <w:sz w:val="24"/>
          <w:szCs w:val="24"/>
          <w:lang w:val="es-MX"/>
        </w:rPr>
        <w:t xml:space="preserve"> </w:t>
      </w:r>
      <w:r w:rsidR="003E761A">
        <w:rPr>
          <w:sz w:val="24"/>
          <w:szCs w:val="24"/>
          <w:lang w:val="es-MX"/>
        </w:rPr>
        <w:t xml:space="preserve">mejora en el </w:t>
      </w:r>
      <w:r w:rsidRPr="003C2DAA">
        <w:rPr>
          <w:sz w:val="24"/>
          <w:szCs w:val="24"/>
          <w:lang w:val="es-MX"/>
        </w:rPr>
        <w:t xml:space="preserve"> abastecimiento en los mercados</w:t>
      </w:r>
      <w:r w:rsidR="003E761A">
        <w:rPr>
          <w:sz w:val="24"/>
          <w:szCs w:val="24"/>
          <w:lang w:val="es-MX"/>
        </w:rPr>
        <w:t xml:space="preserve"> desde los</w:t>
      </w:r>
      <w:r>
        <w:rPr>
          <w:sz w:val="24"/>
          <w:szCs w:val="24"/>
          <w:lang w:val="es-MX"/>
        </w:rPr>
        <w:t xml:space="preserve"> mayorista</w:t>
      </w:r>
      <w:r w:rsidR="003E761A">
        <w:rPr>
          <w:sz w:val="24"/>
          <w:szCs w:val="24"/>
          <w:lang w:val="es-MX"/>
        </w:rPr>
        <w:t>s</w:t>
      </w:r>
      <w:r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Atún en conserva, </w:t>
      </w:r>
      <w:r>
        <w:rPr>
          <w:sz w:val="24"/>
          <w:szCs w:val="24"/>
          <w:lang w:val="es-MX"/>
        </w:rPr>
        <w:t>los precios</w:t>
      </w:r>
      <w:r w:rsidR="003E761A">
        <w:rPr>
          <w:sz w:val="24"/>
          <w:szCs w:val="24"/>
          <w:lang w:val="es-MX"/>
        </w:rPr>
        <w:t xml:space="preserve"> presentan una ligera disminución desde la </w:t>
      </w:r>
      <w:r w:rsidR="00656FF8">
        <w:rPr>
          <w:sz w:val="24"/>
          <w:szCs w:val="24"/>
          <w:lang w:val="es-MX"/>
        </w:rPr>
        <w:t>fábrica</w:t>
      </w:r>
      <w:r w:rsidR="003E761A"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 xml:space="preserve">Azúcar refinada, presenta </w:t>
      </w:r>
      <w:r w:rsidR="00656FF8">
        <w:rPr>
          <w:sz w:val="24"/>
          <w:szCs w:val="24"/>
          <w:lang w:val="es-MX"/>
        </w:rPr>
        <w:t xml:space="preserve">disminución en el </w:t>
      </w:r>
      <w:r>
        <w:rPr>
          <w:sz w:val="24"/>
          <w:szCs w:val="24"/>
          <w:lang w:val="es-MX"/>
        </w:rPr>
        <w:t>precio desde el dis</w:t>
      </w:r>
      <w:r w:rsidR="00656FF8">
        <w:rPr>
          <w:sz w:val="24"/>
          <w:szCs w:val="24"/>
          <w:lang w:val="es-MX"/>
        </w:rPr>
        <w:t>tribuidor, por lo que hay mayor</w:t>
      </w:r>
      <w:r>
        <w:rPr>
          <w:sz w:val="24"/>
          <w:szCs w:val="24"/>
          <w:lang w:val="es-MX"/>
        </w:rPr>
        <w:t xml:space="preserve"> abastecimiento en </w:t>
      </w:r>
      <w:r w:rsidR="00656FF8">
        <w:rPr>
          <w:sz w:val="24"/>
          <w:szCs w:val="24"/>
          <w:lang w:val="es-MX"/>
        </w:rPr>
        <w:t>los</w:t>
      </w:r>
      <w:r>
        <w:rPr>
          <w:sz w:val="24"/>
          <w:szCs w:val="24"/>
          <w:lang w:val="es-MX"/>
        </w:rPr>
        <w:t xml:space="preserve"> mercado</w:t>
      </w:r>
      <w:r w:rsidR="00656FF8">
        <w:rPr>
          <w:sz w:val="24"/>
          <w:szCs w:val="24"/>
          <w:lang w:val="es-MX"/>
        </w:rPr>
        <w:t>s</w:t>
      </w:r>
      <w:r>
        <w:rPr>
          <w:sz w:val="24"/>
          <w:szCs w:val="24"/>
          <w:lang w:val="es-MX"/>
        </w:rPr>
        <w:t xml:space="preserve">. 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>Carnes de res con hueso y carnes de res sin hueso, los precio</w:t>
      </w:r>
      <w:r w:rsidR="00656FF8">
        <w:rPr>
          <w:sz w:val="24"/>
          <w:szCs w:val="24"/>
          <w:lang w:val="es-MX"/>
        </w:rPr>
        <w:t xml:space="preserve">s </w:t>
      </w:r>
      <w:r w:rsidR="00054235">
        <w:rPr>
          <w:sz w:val="24"/>
          <w:szCs w:val="24"/>
          <w:lang w:val="es-MX"/>
        </w:rPr>
        <w:t>han disminuido, por parte de</w:t>
      </w:r>
      <w:r>
        <w:rPr>
          <w:sz w:val="24"/>
          <w:szCs w:val="24"/>
          <w:lang w:val="es-MX"/>
        </w:rPr>
        <w:t xml:space="preserve"> los distribuidores mayoristas</w:t>
      </w:r>
      <w:r w:rsidRPr="00D92F06"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Cebolla paiteña, </w:t>
      </w:r>
      <w:r w:rsidRPr="00853204">
        <w:rPr>
          <w:sz w:val="24"/>
          <w:szCs w:val="24"/>
          <w:lang w:val="es-MX"/>
        </w:rPr>
        <w:t xml:space="preserve">el precio </w:t>
      </w:r>
      <w:r w:rsidR="00441666">
        <w:rPr>
          <w:sz w:val="24"/>
          <w:szCs w:val="24"/>
          <w:lang w:val="es-MX"/>
        </w:rPr>
        <w:t>disminuye</w:t>
      </w:r>
      <w:r w:rsidRPr="00853204">
        <w:rPr>
          <w:sz w:val="24"/>
          <w:szCs w:val="24"/>
          <w:lang w:val="es-MX"/>
        </w:rPr>
        <w:t xml:space="preserve"> debido </w:t>
      </w:r>
      <w:r>
        <w:rPr>
          <w:sz w:val="24"/>
          <w:szCs w:val="24"/>
          <w:lang w:val="es-MX"/>
        </w:rPr>
        <w:t xml:space="preserve">a </w:t>
      </w:r>
      <w:r w:rsidR="00441666">
        <w:rPr>
          <w:sz w:val="24"/>
          <w:szCs w:val="24"/>
          <w:lang w:val="es-MX"/>
        </w:rPr>
        <w:t>mayor</w:t>
      </w:r>
      <w:r w:rsidR="00293D56">
        <w:rPr>
          <w:sz w:val="24"/>
          <w:szCs w:val="24"/>
          <w:lang w:val="es-MX"/>
        </w:rPr>
        <w:t xml:space="preserve"> abastecimiento </w:t>
      </w:r>
      <w:r w:rsidR="00293D56" w:rsidRPr="00853204">
        <w:rPr>
          <w:sz w:val="24"/>
          <w:szCs w:val="24"/>
          <w:lang w:val="es-MX"/>
        </w:rPr>
        <w:t>en los mercados</w:t>
      </w:r>
      <w:r w:rsidR="00293D56">
        <w:rPr>
          <w:sz w:val="24"/>
          <w:szCs w:val="24"/>
          <w:lang w:val="es-MX"/>
        </w:rPr>
        <w:t xml:space="preserve"> desde la zona central del país</w:t>
      </w:r>
      <w:r w:rsidRPr="00853204"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25406">
        <w:rPr>
          <w:sz w:val="24"/>
          <w:szCs w:val="24"/>
          <w:lang w:val="es-MX"/>
        </w:rPr>
        <w:t>Huev</w:t>
      </w:r>
      <w:r>
        <w:rPr>
          <w:sz w:val="24"/>
          <w:szCs w:val="24"/>
          <w:lang w:val="es-MX"/>
        </w:rPr>
        <w:t xml:space="preserve">os de gallina, presentan </w:t>
      </w:r>
      <w:r w:rsidR="00293D56">
        <w:rPr>
          <w:sz w:val="24"/>
          <w:szCs w:val="24"/>
          <w:lang w:val="es-MX"/>
        </w:rPr>
        <w:t>disminución</w:t>
      </w:r>
      <w:r w:rsidRPr="00125406">
        <w:rPr>
          <w:sz w:val="24"/>
          <w:szCs w:val="24"/>
          <w:lang w:val="es-MX"/>
        </w:rPr>
        <w:t xml:space="preserve"> en los precios</w:t>
      </w:r>
      <w:r>
        <w:rPr>
          <w:sz w:val="24"/>
          <w:szCs w:val="24"/>
          <w:lang w:val="es-MX"/>
        </w:rPr>
        <w:t xml:space="preserve"> debido</w:t>
      </w:r>
      <w:r w:rsidR="00054235">
        <w:rPr>
          <w:sz w:val="24"/>
          <w:szCs w:val="24"/>
          <w:lang w:val="es-MX"/>
        </w:rPr>
        <w:t xml:space="preserve"> a una</w:t>
      </w:r>
      <w:r>
        <w:rPr>
          <w:sz w:val="24"/>
          <w:szCs w:val="24"/>
          <w:lang w:val="es-MX"/>
        </w:rPr>
        <w:t xml:space="preserve"> </w:t>
      </w:r>
      <w:r w:rsidR="00054235">
        <w:rPr>
          <w:sz w:val="24"/>
          <w:szCs w:val="24"/>
          <w:lang w:val="es-MX"/>
        </w:rPr>
        <w:t xml:space="preserve">mayor </w:t>
      </w:r>
      <w:r>
        <w:rPr>
          <w:sz w:val="24"/>
          <w:szCs w:val="24"/>
          <w:lang w:val="es-MX"/>
        </w:rPr>
        <w:t>distribu</w:t>
      </w:r>
      <w:r w:rsidR="00293D56">
        <w:rPr>
          <w:sz w:val="24"/>
          <w:szCs w:val="24"/>
          <w:lang w:val="es-MX"/>
        </w:rPr>
        <w:t>ción desde los mayoristas.</w:t>
      </w:r>
    </w:p>
    <w:p w:rsidR="006A2873" w:rsidRDefault="006A2873" w:rsidP="006A2873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Pan corriente, existe </w:t>
      </w:r>
      <w:r w:rsidR="000A01AB">
        <w:rPr>
          <w:sz w:val="24"/>
          <w:szCs w:val="24"/>
          <w:lang w:val="es-MX"/>
        </w:rPr>
        <w:t xml:space="preserve">una </w:t>
      </w:r>
      <w:r w:rsidR="00054235">
        <w:rPr>
          <w:sz w:val="24"/>
          <w:szCs w:val="24"/>
          <w:lang w:val="es-MX"/>
        </w:rPr>
        <w:t>leve</w:t>
      </w:r>
      <w:r w:rsidR="000A01AB">
        <w:rPr>
          <w:sz w:val="24"/>
          <w:szCs w:val="24"/>
          <w:lang w:val="es-MX"/>
        </w:rPr>
        <w:t xml:space="preserve"> </w:t>
      </w:r>
      <w:r w:rsidR="00054235">
        <w:rPr>
          <w:sz w:val="24"/>
          <w:szCs w:val="24"/>
          <w:lang w:val="es-MX"/>
        </w:rPr>
        <w:t>baja</w:t>
      </w:r>
      <w:r w:rsidRPr="006A2873">
        <w:rPr>
          <w:sz w:val="24"/>
          <w:szCs w:val="24"/>
          <w:lang w:val="es-MX"/>
        </w:rPr>
        <w:t xml:space="preserve"> de precios </w:t>
      </w:r>
      <w:r w:rsidR="000A01AB">
        <w:rPr>
          <w:sz w:val="24"/>
          <w:szCs w:val="24"/>
          <w:lang w:val="es-MX"/>
        </w:rPr>
        <w:t>en la mayoría de ciudades</w:t>
      </w:r>
      <w:r w:rsidRPr="006A2873"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A2873">
        <w:rPr>
          <w:sz w:val="24"/>
          <w:szCs w:val="24"/>
          <w:lang w:val="es-MX"/>
        </w:rPr>
        <w:t xml:space="preserve">Papa chola, los precios </w:t>
      </w:r>
      <w:r w:rsidR="00086C08">
        <w:rPr>
          <w:sz w:val="24"/>
          <w:szCs w:val="24"/>
          <w:lang w:val="es-MX"/>
        </w:rPr>
        <w:t>disminuyen</w:t>
      </w:r>
      <w:r w:rsidRPr="006A2873">
        <w:rPr>
          <w:sz w:val="24"/>
          <w:szCs w:val="24"/>
          <w:lang w:val="es-MX"/>
        </w:rPr>
        <w:t xml:space="preserve"> debido </w:t>
      </w:r>
      <w:r w:rsidR="00365E96">
        <w:rPr>
          <w:sz w:val="24"/>
          <w:szCs w:val="24"/>
          <w:lang w:val="es-MX"/>
        </w:rPr>
        <w:t>mayor oferta del producto desde las zonas interandinas y menor especulación de los mayoristas.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C5F74">
        <w:rPr>
          <w:sz w:val="24"/>
          <w:szCs w:val="24"/>
          <w:lang w:val="es-MX"/>
        </w:rPr>
        <w:t>Pescad</w:t>
      </w:r>
      <w:r>
        <w:rPr>
          <w:sz w:val="24"/>
          <w:szCs w:val="24"/>
          <w:lang w:val="es-MX"/>
        </w:rPr>
        <w:t xml:space="preserve">os </w:t>
      </w:r>
      <w:r w:rsidR="00365E96">
        <w:rPr>
          <w:sz w:val="24"/>
          <w:szCs w:val="24"/>
          <w:lang w:val="es-MX"/>
        </w:rPr>
        <w:t xml:space="preserve">frescos, los precios presentan una ligera disminución, debido a mejora en  el </w:t>
      </w:r>
      <w:r>
        <w:rPr>
          <w:sz w:val="24"/>
          <w:szCs w:val="24"/>
          <w:lang w:val="es-MX"/>
        </w:rPr>
        <w:t xml:space="preserve">abastecimiento </w:t>
      </w:r>
      <w:r w:rsidR="00365E96">
        <w:rPr>
          <w:sz w:val="24"/>
          <w:szCs w:val="24"/>
          <w:lang w:val="es-MX"/>
        </w:rPr>
        <w:t>de los mercados.</w:t>
      </w:r>
    </w:p>
    <w:p w:rsidR="009859E2" w:rsidRPr="00D92F06" w:rsidRDefault="009859E2" w:rsidP="009859E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C25892">
        <w:rPr>
          <w:sz w:val="24"/>
          <w:szCs w:val="24"/>
          <w:lang w:val="es-MX"/>
        </w:rPr>
        <w:t>presenta disminución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C25892">
        <w:rPr>
          <w:sz w:val="24"/>
          <w:szCs w:val="24"/>
          <w:lang w:val="es-MX"/>
        </w:rPr>
        <w:t>debido a mayor</w:t>
      </w:r>
      <w:r>
        <w:rPr>
          <w:sz w:val="24"/>
          <w:szCs w:val="24"/>
          <w:lang w:val="es-MX"/>
        </w:rPr>
        <w:t xml:space="preserve"> producción </w:t>
      </w:r>
      <w:r w:rsidR="00C25892">
        <w:rPr>
          <w:sz w:val="24"/>
          <w:szCs w:val="24"/>
          <w:lang w:val="es-MX"/>
        </w:rPr>
        <w:t xml:space="preserve">por ser temporada de cosecha </w:t>
      </w:r>
      <w:r w:rsidR="00994B77">
        <w:rPr>
          <w:sz w:val="24"/>
          <w:szCs w:val="24"/>
          <w:lang w:val="es-MX"/>
        </w:rPr>
        <w:t>en la Costa</w:t>
      </w:r>
      <w:r>
        <w:rPr>
          <w:sz w:val="24"/>
          <w:szCs w:val="24"/>
          <w:lang w:val="es-MX"/>
        </w:rPr>
        <w:t>.</w:t>
      </w:r>
      <w:r w:rsidRPr="00D92F06">
        <w:rPr>
          <w:sz w:val="24"/>
          <w:szCs w:val="24"/>
          <w:lang w:val="es-MX"/>
        </w:rPr>
        <w:t xml:space="preserve"> </w:t>
      </w:r>
    </w:p>
    <w:p w:rsidR="00BE79A0" w:rsidRPr="00D92F06" w:rsidRDefault="00BE79A0" w:rsidP="00BE79A0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D92F06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>los precios</w:t>
      </w:r>
      <w:r w:rsidRPr="00666862">
        <w:rPr>
          <w:sz w:val="24"/>
          <w:szCs w:val="24"/>
          <w:lang w:val="es-MX"/>
        </w:rPr>
        <w:t xml:space="preserve"> </w:t>
      </w:r>
      <w:r w:rsidR="006D176B">
        <w:rPr>
          <w:sz w:val="24"/>
          <w:szCs w:val="24"/>
          <w:lang w:val="es-MX"/>
        </w:rPr>
        <w:t>presentan aumento desde la fábrica debido al alza de los costos de producción (materias primas).</w:t>
      </w:r>
    </w:p>
    <w:p w:rsidR="006D176B" w:rsidRPr="006D176B" w:rsidRDefault="00A979E9" w:rsidP="00466A7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D176B">
        <w:rPr>
          <w:sz w:val="24"/>
          <w:szCs w:val="24"/>
          <w:lang w:val="es-MX"/>
        </w:rPr>
        <w:t xml:space="preserve">Leche pasteurizada homogenizada, presenta </w:t>
      </w:r>
      <w:r w:rsidR="008B2212">
        <w:rPr>
          <w:sz w:val="24"/>
          <w:szCs w:val="24"/>
          <w:lang w:val="es-MX"/>
        </w:rPr>
        <w:t xml:space="preserve">un ligero </w:t>
      </w:r>
      <w:r w:rsidR="006D176B" w:rsidRPr="006D176B">
        <w:rPr>
          <w:sz w:val="24"/>
          <w:szCs w:val="24"/>
          <w:lang w:val="es-MX"/>
        </w:rPr>
        <w:t xml:space="preserve">aumento de precios debido a </w:t>
      </w:r>
      <w:r w:rsidR="006D176B">
        <w:rPr>
          <w:sz w:val="24"/>
          <w:szCs w:val="24"/>
          <w:lang w:val="es-MX"/>
        </w:rPr>
        <w:t>la</w:t>
      </w:r>
      <w:r w:rsidR="006D176B" w:rsidRPr="006D176B">
        <w:rPr>
          <w:sz w:val="24"/>
          <w:szCs w:val="24"/>
          <w:lang w:val="es-MX"/>
        </w:rPr>
        <w:t xml:space="preserve"> poca producción</w:t>
      </w:r>
      <w:r w:rsidR="006D176B">
        <w:rPr>
          <w:sz w:val="24"/>
          <w:szCs w:val="24"/>
          <w:lang w:val="es-MX"/>
        </w:rPr>
        <w:t xml:space="preserve"> lechera, causada por las</w:t>
      </w:r>
      <w:r w:rsidR="006D176B" w:rsidRPr="006D176B">
        <w:rPr>
          <w:sz w:val="24"/>
          <w:szCs w:val="24"/>
          <w:lang w:val="es-MX"/>
        </w:rPr>
        <w:t xml:space="preserve"> sequia</w:t>
      </w:r>
      <w:r w:rsidR="006D176B">
        <w:rPr>
          <w:sz w:val="24"/>
          <w:szCs w:val="24"/>
          <w:lang w:val="es-MX"/>
        </w:rPr>
        <w:t>s</w:t>
      </w:r>
      <w:r w:rsidR="006D176B" w:rsidRPr="006D176B">
        <w:rPr>
          <w:sz w:val="24"/>
          <w:szCs w:val="24"/>
          <w:lang w:val="es-MX"/>
        </w:rPr>
        <w:t xml:space="preserve"> en la Costa</w:t>
      </w:r>
      <w:r w:rsidR="006D176B">
        <w:rPr>
          <w:sz w:val="24"/>
          <w:szCs w:val="24"/>
          <w:lang w:val="es-MX"/>
        </w:rPr>
        <w:t>.</w:t>
      </w:r>
      <w:r w:rsidR="006D176B" w:rsidRPr="006D176B">
        <w:rPr>
          <w:sz w:val="24"/>
          <w:szCs w:val="24"/>
          <w:lang w:val="es-MX"/>
        </w:rPr>
        <w:t xml:space="preserve"> </w:t>
      </w:r>
    </w:p>
    <w:p w:rsidR="00466A7E" w:rsidRPr="006D176B" w:rsidRDefault="00466A7E" w:rsidP="00466A7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6D176B">
        <w:rPr>
          <w:sz w:val="24"/>
          <w:szCs w:val="24"/>
          <w:lang w:val="es-MX"/>
        </w:rPr>
        <w:lastRenderedPageBreak/>
        <w:t xml:space="preserve">Pollo entero y Presas de pollo, su precio </w:t>
      </w:r>
      <w:r w:rsidR="00486D0A" w:rsidRPr="006D176B">
        <w:rPr>
          <w:sz w:val="24"/>
          <w:szCs w:val="24"/>
          <w:lang w:val="es-MX"/>
        </w:rPr>
        <w:t>aumenta</w:t>
      </w:r>
      <w:r w:rsidRPr="006D176B">
        <w:rPr>
          <w:sz w:val="24"/>
          <w:szCs w:val="24"/>
          <w:lang w:val="es-MX"/>
        </w:rPr>
        <w:t xml:space="preserve"> </w:t>
      </w:r>
      <w:r w:rsidR="00635503">
        <w:rPr>
          <w:sz w:val="24"/>
          <w:szCs w:val="24"/>
          <w:lang w:val="es-MX"/>
        </w:rPr>
        <w:t xml:space="preserve">debido al alza en sus costos desde </w:t>
      </w:r>
      <w:r w:rsidRPr="006D176B">
        <w:rPr>
          <w:sz w:val="24"/>
          <w:szCs w:val="24"/>
          <w:lang w:val="es-MX"/>
        </w:rPr>
        <w:t xml:space="preserve">los </w:t>
      </w:r>
      <w:r w:rsidR="00635503">
        <w:rPr>
          <w:sz w:val="24"/>
          <w:szCs w:val="24"/>
          <w:lang w:val="es-MX"/>
        </w:rPr>
        <w:t>planteles</w:t>
      </w:r>
      <w:r w:rsidR="00891AB0">
        <w:rPr>
          <w:sz w:val="24"/>
          <w:szCs w:val="24"/>
          <w:lang w:val="es-MX"/>
        </w:rPr>
        <w:t xml:space="preserve"> avícolas y por </w:t>
      </w:r>
      <w:r w:rsidR="005B5C21">
        <w:rPr>
          <w:sz w:val="24"/>
          <w:szCs w:val="24"/>
          <w:lang w:val="es-MX"/>
        </w:rPr>
        <w:t>escasez</w:t>
      </w:r>
      <w:r w:rsidR="00891AB0">
        <w:rPr>
          <w:sz w:val="24"/>
          <w:szCs w:val="24"/>
          <w:lang w:val="es-MX"/>
        </w:rPr>
        <w:t xml:space="preserve"> ya que</w:t>
      </w:r>
      <w:r w:rsidR="00DE28A1">
        <w:rPr>
          <w:sz w:val="24"/>
          <w:szCs w:val="24"/>
          <w:lang w:val="es-MX"/>
        </w:rPr>
        <w:t xml:space="preserve"> especulan </w:t>
      </w:r>
      <w:r w:rsidR="00891AB0">
        <w:rPr>
          <w:sz w:val="24"/>
          <w:szCs w:val="24"/>
          <w:lang w:val="es-MX"/>
        </w:rPr>
        <w:t>por la llegada de las festividades.</w:t>
      </w:r>
    </w:p>
    <w:p w:rsidR="00926C0D" w:rsidRDefault="00926C0D" w:rsidP="00926C0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1C5F74">
        <w:rPr>
          <w:sz w:val="24"/>
          <w:szCs w:val="24"/>
          <w:lang w:val="es-MX"/>
        </w:rPr>
        <w:t xml:space="preserve">Queso de cocina, presenta </w:t>
      </w:r>
      <w:r w:rsidR="009D0348" w:rsidRPr="001C5F74">
        <w:rPr>
          <w:sz w:val="24"/>
          <w:szCs w:val="24"/>
          <w:lang w:val="es-MX"/>
        </w:rPr>
        <w:t>aumento</w:t>
      </w:r>
      <w:r w:rsidRPr="001C5F74">
        <w:rPr>
          <w:sz w:val="24"/>
          <w:szCs w:val="24"/>
          <w:lang w:val="es-MX"/>
        </w:rPr>
        <w:t xml:space="preserve"> de precios en l</w:t>
      </w:r>
      <w:r w:rsidR="00AC14C4">
        <w:rPr>
          <w:sz w:val="24"/>
          <w:szCs w:val="24"/>
          <w:lang w:val="es-MX"/>
        </w:rPr>
        <w:t>a mayoría de ciudades; por escasa</w:t>
      </w:r>
      <w:r w:rsidR="009D0348" w:rsidRPr="001C5F74">
        <w:rPr>
          <w:sz w:val="24"/>
          <w:szCs w:val="24"/>
          <w:lang w:val="es-MX"/>
        </w:rPr>
        <w:t xml:space="preserve"> producción de leche</w:t>
      </w:r>
      <w:r w:rsidR="001C5F74">
        <w:rPr>
          <w:sz w:val="24"/>
          <w:szCs w:val="24"/>
          <w:lang w:val="es-MX"/>
        </w:rPr>
        <w:t xml:space="preserve"> </w:t>
      </w:r>
      <w:r w:rsidR="00602D26">
        <w:rPr>
          <w:sz w:val="24"/>
          <w:szCs w:val="24"/>
          <w:lang w:val="es-MX"/>
        </w:rPr>
        <w:t>debido a factores climatológicos (sequias</w:t>
      </w:r>
      <w:r w:rsidR="005B5C21">
        <w:rPr>
          <w:sz w:val="24"/>
          <w:szCs w:val="24"/>
          <w:lang w:val="es-MX"/>
        </w:rPr>
        <w:t xml:space="preserve"> en la Región Costa</w:t>
      </w:r>
      <w:r w:rsidR="00602D26">
        <w:rPr>
          <w:sz w:val="24"/>
          <w:szCs w:val="24"/>
          <w:lang w:val="es-MX"/>
        </w:rPr>
        <w:t>)</w:t>
      </w:r>
      <w:r w:rsidR="00642106">
        <w:rPr>
          <w:sz w:val="24"/>
          <w:szCs w:val="24"/>
          <w:lang w:val="es-MX"/>
        </w:rPr>
        <w:t>.</w:t>
      </w:r>
    </w:p>
    <w:p w:rsidR="008C0B6E" w:rsidRDefault="008C0B6E" w:rsidP="008C0B6E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466A7E" w:rsidRDefault="00466A7E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554FFC" w:rsidRPr="0031788B">
        <w:rPr>
          <w:sz w:val="24"/>
          <w:szCs w:val="24"/>
          <w:lang w:val="es-MX"/>
        </w:rPr>
        <w:t>se mantienen estables para el consumidor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8B2212">
        <w:rPr>
          <w:sz w:val="24"/>
          <w:szCs w:val="24"/>
          <w:lang w:val="es-MX"/>
        </w:rPr>
        <w:t xml:space="preserve">creen que </w:t>
      </w:r>
      <w:r w:rsidR="00511D2F">
        <w:rPr>
          <w:sz w:val="24"/>
          <w:szCs w:val="24"/>
          <w:lang w:val="es-MX"/>
        </w:rPr>
        <w:t>éstos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9316DA">
        <w:rPr>
          <w:sz w:val="24"/>
          <w:szCs w:val="24"/>
          <w:lang w:val="es-MX"/>
        </w:rPr>
        <w:t>res de todas las ciudades indican que existe</w:t>
      </w:r>
      <w:r w:rsidRPr="008D24DA">
        <w:rPr>
          <w:sz w:val="24"/>
          <w:szCs w:val="24"/>
          <w:lang w:val="es-MX"/>
        </w:rPr>
        <w:t xml:space="preserve"> estabilidad en los precios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>
        <w:rPr>
          <w:sz w:val="24"/>
          <w:szCs w:val="24"/>
          <w:lang w:val="es-MX"/>
        </w:rPr>
        <w:t xml:space="preserve">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511D2F">
        <w:rPr>
          <w:sz w:val="24"/>
          <w:szCs w:val="24"/>
          <w:lang w:val="es-MX"/>
        </w:rPr>
        <w:t>exista una subida</w:t>
      </w:r>
      <w:r w:rsidR="007128BD" w:rsidRPr="007128BD">
        <w:rPr>
          <w:sz w:val="24"/>
          <w:szCs w:val="24"/>
          <w:lang w:val="es-MX"/>
        </w:rPr>
        <w:t>.</w:t>
      </w:r>
    </w:p>
    <w:p w:rsidR="008C0B6E" w:rsidRDefault="008C0B6E" w:rsidP="008C0B6E">
      <w:pPr>
        <w:pStyle w:val="Prrafodelista"/>
        <w:jc w:val="both"/>
        <w:rPr>
          <w:sz w:val="24"/>
          <w:szCs w:val="24"/>
          <w:lang w:val="es-MX"/>
        </w:rPr>
      </w:pP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713FDE" w:rsidRDefault="00420E90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 </w:t>
      </w:r>
      <w:r w:rsidR="004F62EB" w:rsidRPr="00420E90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8C0B6E" w:rsidRDefault="008C0B6E" w:rsidP="008C0B6E">
      <w:pPr>
        <w:jc w:val="both"/>
        <w:rPr>
          <w:sz w:val="24"/>
          <w:szCs w:val="24"/>
          <w:lang w:val="es-MX"/>
        </w:rPr>
      </w:pPr>
    </w:p>
    <w:p w:rsidR="008C0B6E" w:rsidRPr="008C0B6E" w:rsidRDefault="008C0B6E" w:rsidP="008C0B6E">
      <w:pPr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A979E9">
        <w:rPr>
          <w:sz w:val="24"/>
          <w:szCs w:val="24"/>
          <w:lang w:val="es-MX"/>
        </w:rPr>
        <w:t>segunda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BA2BC9" w:rsidRPr="00420E90">
        <w:rPr>
          <w:sz w:val="24"/>
          <w:szCs w:val="24"/>
          <w:lang w:val="es-MX"/>
        </w:rPr>
        <w:t>noviembre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5326C0"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 xml:space="preserve">y la Comercialización son los </w:t>
      </w:r>
      <w:r w:rsidR="00952763" w:rsidRPr="00420E90">
        <w:rPr>
          <w:sz w:val="24"/>
          <w:szCs w:val="24"/>
          <w:lang w:val="es-MX"/>
        </w:rPr>
        <w:t>motivo</w:t>
      </w:r>
      <w:r w:rsidR="008C0B6E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8C0B6E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,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5712D1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5712D1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3048000"/>
            <wp:effectExtent l="19050" t="0" r="1905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07BB" w:rsidRPr="00C97766" w:rsidRDefault="005326C0" w:rsidP="00174A22">
      <w:pPr>
        <w:pStyle w:val="Prrafodelista"/>
        <w:ind w:left="426"/>
        <w:jc w:val="center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 </w:t>
      </w: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811" w:rsidRDefault="004C4811" w:rsidP="00200591">
      <w:pPr>
        <w:spacing w:after="0" w:line="240" w:lineRule="auto"/>
      </w:pPr>
      <w:r>
        <w:separator/>
      </w:r>
    </w:p>
  </w:endnote>
  <w:endnote w:type="continuationSeparator" w:id="0">
    <w:p w:rsidR="004C4811" w:rsidRDefault="004C4811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811" w:rsidRDefault="004C4811" w:rsidP="00200591">
      <w:pPr>
        <w:spacing w:after="0" w:line="240" w:lineRule="auto"/>
      </w:pPr>
      <w:r>
        <w:separator/>
      </w:r>
    </w:p>
  </w:footnote>
  <w:footnote w:type="continuationSeparator" w:id="0">
    <w:p w:rsidR="004C4811" w:rsidRDefault="004C4811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108F6"/>
    <w:rsid w:val="0001511B"/>
    <w:rsid w:val="00016511"/>
    <w:rsid w:val="00020B9E"/>
    <w:rsid w:val="00034B58"/>
    <w:rsid w:val="00041C03"/>
    <w:rsid w:val="00041C11"/>
    <w:rsid w:val="0004579B"/>
    <w:rsid w:val="00054235"/>
    <w:rsid w:val="00054D02"/>
    <w:rsid w:val="000625A0"/>
    <w:rsid w:val="00063A8E"/>
    <w:rsid w:val="00067FEE"/>
    <w:rsid w:val="000807C2"/>
    <w:rsid w:val="00085D74"/>
    <w:rsid w:val="0008666C"/>
    <w:rsid w:val="00086C08"/>
    <w:rsid w:val="00093F95"/>
    <w:rsid w:val="000942E8"/>
    <w:rsid w:val="000A01AB"/>
    <w:rsid w:val="000A063D"/>
    <w:rsid w:val="000A475F"/>
    <w:rsid w:val="000B365D"/>
    <w:rsid w:val="000B492C"/>
    <w:rsid w:val="000C19B2"/>
    <w:rsid w:val="000C313A"/>
    <w:rsid w:val="000C5110"/>
    <w:rsid w:val="000C6460"/>
    <w:rsid w:val="000D0002"/>
    <w:rsid w:val="000D2622"/>
    <w:rsid w:val="000D5B4F"/>
    <w:rsid w:val="000E1613"/>
    <w:rsid w:val="000F0612"/>
    <w:rsid w:val="000F31A5"/>
    <w:rsid w:val="001013EB"/>
    <w:rsid w:val="001125F0"/>
    <w:rsid w:val="001141AB"/>
    <w:rsid w:val="00116C06"/>
    <w:rsid w:val="00125406"/>
    <w:rsid w:val="00125A52"/>
    <w:rsid w:val="001324CE"/>
    <w:rsid w:val="001529B0"/>
    <w:rsid w:val="00154D2D"/>
    <w:rsid w:val="00156D84"/>
    <w:rsid w:val="00160D03"/>
    <w:rsid w:val="0016557B"/>
    <w:rsid w:val="00174A22"/>
    <w:rsid w:val="00176057"/>
    <w:rsid w:val="001855F3"/>
    <w:rsid w:val="001A02C9"/>
    <w:rsid w:val="001A6A42"/>
    <w:rsid w:val="001A7ABD"/>
    <w:rsid w:val="001B2765"/>
    <w:rsid w:val="001B326F"/>
    <w:rsid w:val="001B3E74"/>
    <w:rsid w:val="001C0538"/>
    <w:rsid w:val="001C44A1"/>
    <w:rsid w:val="001C5F74"/>
    <w:rsid w:val="001D148B"/>
    <w:rsid w:val="001D3811"/>
    <w:rsid w:val="001E3846"/>
    <w:rsid w:val="001E4CC4"/>
    <w:rsid w:val="001F4BBE"/>
    <w:rsid w:val="00200591"/>
    <w:rsid w:val="00200C10"/>
    <w:rsid w:val="00201FFD"/>
    <w:rsid w:val="0020480D"/>
    <w:rsid w:val="00204B86"/>
    <w:rsid w:val="002051E6"/>
    <w:rsid w:val="00213DDF"/>
    <w:rsid w:val="00217F3C"/>
    <w:rsid w:val="00233D50"/>
    <w:rsid w:val="002360E3"/>
    <w:rsid w:val="002365CF"/>
    <w:rsid w:val="00250547"/>
    <w:rsid w:val="00253E1F"/>
    <w:rsid w:val="00264B43"/>
    <w:rsid w:val="002674C8"/>
    <w:rsid w:val="00275C74"/>
    <w:rsid w:val="002772E6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D374D"/>
    <w:rsid w:val="002D7FA4"/>
    <w:rsid w:val="002E07E5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9A9"/>
    <w:rsid w:val="003415B2"/>
    <w:rsid w:val="00341B3A"/>
    <w:rsid w:val="003568E8"/>
    <w:rsid w:val="00357ECD"/>
    <w:rsid w:val="00357FE0"/>
    <w:rsid w:val="0036297B"/>
    <w:rsid w:val="00362DB0"/>
    <w:rsid w:val="00363357"/>
    <w:rsid w:val="00365E96"/>
    <w:rsid w:val="003705E7"/>
    <w:rsid w:val="00374806"/>
    <w:rsid w:val="00377C16"/>
    <w:rsid w:val="00384665"/>
    <w:rsid w:val="00386D1E"/>
    <w:rsid w:val="003A275D"/>
    <w:rsid w:val="003A48D3"/>
    <w:rsid w:val="003A4E4E"/>
    <w:rsid w:val="003A5EEE"/>
    <w:rsid w:val="003C00E1"/>
    <w:rsid w:val="003C2DAA"/>
    <w:rsid w:val="003C3FB6"/>
    <w:rsid w:val="003D0B26"/>
    <w:rsid w:val="003D275D"/>
    <w:rsid w:val="003E0724"/>
    <w:rsid w:val="003E3C87"/>
    <w:rsid w:val="003E42EC"/>
    <w:rsid w:val="003E4DFF"/>
    <w:rsid w:val="003E761A"/>
    <w:rsid w:val="003F1BD7"/>
    <w:rsid w:val="004023CD"/>
    <w:rsid w:val="00403F7B"/>
    <w:rsid w:val="00405310"/>
    <w:rsid w:val="00414D43"/>
    <w:rsid w:val="00420E90"/>
    <w:rsid w:val="00421DC1"/>
    <w:rsid w:val="00422919"/>
    <w:rsid w:val="00424D6C"/>
    <w:rsid w:val="0043737F"/>
    <w:rsid w:val="00441666"/>
    <w:rsid w:val="00443388"/>
    <w:rsid w:val="00443F5C"/>
    <w:rsid w:val="00454082"/>
    <w:rsid w:val="0045689B"/>
    <w:rsid w:val="004618E4"/>
    <w:rsid w:val="00466A7E"/>
    <w:rsid w:val="00470BFF"/>
    <w:rsid w:val="0047104B"/>
    <w:rsid w:val="004712C7"/>
    <w:rsid w:val="004721A4"/>
    <w:rsid w:val="00485243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B430F"/>
    <w:rsid w:val="004B4F3F"/>
    <w:rsid w:val="004B51BD"/>
    <w:rsid w:val="004C06BF"/>
    <w:rsid w:val="004C2506"/>
    <w:rsid w:val="004C4811"/>
    <w:rsid w:val="004D1329"/>
    <w:rsid w:val="004E0EDC"/>
    <w:rsid w:val="004E393C"/>
    <w:rsid w:val="004E4586"/>
    <w:rsid w:val="004F62EB"/>
    <w:rsid w:val="004F7072"/>
    <w:rsid w:val="005003C9"/>
    <w:rsid w:val="00504DA9"/>
    <w:rsid w:val="00511D2F"/>
    <w:rsid w:val="00514653"/>
    <w:rsid w:val="005252FE"/>
    <w:rsid w:val="005326C0"/>
    <w:rsid w:val="00536674"/>
    <w:rsid w:val="0053732F"/>
    <w:rsid w:val="0053761A"/>
    <w:rsid w:val="0055136C"/>
    <w:rsid w:val="00553D3D"/>
    <w:rsid w:val="0055483C"/>
    <w:rsid w:val="00554FFC"/>
    <w:rsid w:val="00557E60"/>
    <w:rsid w:val="00564A21"/>
    <w:rsid w:val="0056728C"/>
    <w:rsid w:val="005700DE"/>
    <w:rsid w:val="005712D1"/>
    <w:rsid w:val="00575735"/>
    <w:rsid w:val="00576D8D"/>
    <w:rsid w:val="00583DC5"/>
    <w:rsid w:val="00584001"/>
    <w:rsid w:val="00596E87"/>
    <w:rsid w:val="005B4587"/>
    <w:rsid w:val="005B45FD"/>
    <w:rsid w:val="005B5C21"/>
    <w:rsid w:val="005B6145"/>
    <w:rsid w:val="005B65C9"/>
    <w:rsid w:val="005D0556"/>
    <w:rsid w:val="005D3B13"/>
    <w:rsid w:val="005D3BB5"/>
    <w:rsid w:val="005D7400"/>
    <w:rsid w:val="005D7A72"/>
    <w:rsid w:val="005E3B99"/>
    <w:rsid w:val="005E4FB8"/>
    <w:rsid w:val="005F20BA"/>
    <w:rsid w:val="005F56A4"/>
    <w:rsid w:val="005F6682"/>
    <w:rsid w:val="006021C8"/>
    <w:rsid w:val="006022B4"/>
    <w:rsid w:val="00602D26"/>
    <w:rsid w:val="00604D96"/>
    <w:rsid w:val="00606B84"/>
    <w:rsid w:val="006134EC"/>
    <w:rsid w:val="006168C8"/>
    <w:rsid w:val="006174B7"/>
    <w:rsid w:val="006175B8"/>
    <w:rsid w:val="006234D0"/>
    <w:rsid w:val="00624B54"/>
    <w:rsid w:val="006307BB"/>
    <w:rsid w:val="006315C4"/>
    <w:rsid w:val="00635503"/>
    <w:rsid w:val="00640BC5"/>
    <w:rsid w:val="00642106"/>
    <w:rsid w:val="006446DA"/>
    <w:rsid w:val="00645D5B"/>
    <w:rsid w:val="00647DFF"/>
    <w:rsid w:val="006543BC"/>
    <w:rsid w:val="00655D34"/>
    <w:rsid w:val="00656FF8"/>
    <w:rsid w:val="00666862"/>
    <w:rsid w:val="00672547"/>
    <w:rsid w:val="006747F8"/>
    <w:rsid w:val="00675F61"/>
    <w:rsid w:val="006763C9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316D6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6231"/>
    <w:rsid w:val="007B10A2"/>
    <w:rsid w:val="007B66B6"/>
    <w:rsid w:val="007D4935"/>
    <w:rsid w:val="007D77C3"/>
    <w:rsid w:val="007E3735"/>
    <w:rsid w:val="007E5FA3"/>
    <w:rsid w:val="007E78E2"/>
    <w:rsid w:val="007F3FBB"/>
    <w:rsid w:val="007F46AE"/>
    <w:rsid w:val="007F51D2"/>
    <w:rsid w:val="008002F6"/>
    <w:rsid w:val="008033CB"/>
    <w:rsid w:val="00817822"/>
    <w:rsid w:val="008305A5"/>
    <w:rsid w:val="008341D0"/>
    <w:rsid w:val="00835937"/>
    <w:rsid w:val="008367AF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AB0"/>
    <w:rsid w:val="008946DB"/>
    <w:rsid w:val="00895AEF"/>
    <w:rsid w:val="008A1276"/>
    <w:rsid w:val="008B2212"/>
    <w:rsid w:val="008B2BD3"/>
    <w:rsid w:val="008B4E33"/>
    <w:rsid w:val="008B4EC7"/>
    <w:rsid w:val="008C0B6E"/>
    <w:rsid w:val="008C179E"/>
    <w:rsid w:val="008C3923"/>
    <w:rsid w:val="008C5128"/>
    <w:rsid w:val="008C586D"/>
    <w:rsid w:val="008D24DA"/>
    <w:rsid w:val="008D3404"/>
    <w:rsid w:val="008D5482"/>
    <w:rsid w:val="008D610D"/>
    <w:rsid w:val="008E2D6C"/>
    <w:rsid w:val="008F0317"/>
    <w:rsid w:val="008F2B65"/>
    <w:rsid w:val="008F537D"/>
    <w:rsid w:val="00901B4A"/>
    <w:rsid w:val="00902941"/>
    <w:rsid w:val="00903FB0"/>
    <w:rsid w:val="00906D51"/>
    <w:rsid w:val="00906F40"/>
    <w:rsid w:val="00907720"/>
    <w:rsid w:val="009138E9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B77"/>
    <w:rsid w:val="00994EE1"/>
    <w:rsid w:val="009A1314"/>
    <w:rsid w:val="009A6000"/>
    <w:rsid w:val="009A62EB"/>
    <w:rsid w:val="009B4C60"/>
    <w:rsid w:val="009B77DC"/>
    <w:rsid w:val="009B7BCE"/>
    <w:rsid w:val="009C324A"/>
    <w:rsid w:val="009C373D"/>
    <w:rsid w:val="009C414F"/>
    <w:rsid w:val="009D0348"/>
    <w:rsid w:val="009E0BE6"/>
    <w:rsid w:val="009E5558"/>
    <w:rsid w:val="009F31D8"/>
    <w:rsid w:val="009F3606"/>
    <w:rsid w:val="009F56C9"/>
    <w:rsid w:val="00A03E7D"/>
    <w:rsid w:val="00A20A63"/>
    <w:rsid w:val="00A22D6C"/>
    <w:rsid w:val="00A22ED5"/>
    <w:rsid w:val="00A233A5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62F55"/>
    <w:rsid w:val="00A70DCA"/>
    <w:rsid w:val="00A73946"/>
    <w:rsid w:val="00A75902"/>
    <w:rsid w:val="00A81F91"/>
    <w:rsid w:val="00A8447B"/>
    <w:rsid w:val="00A851D6"/>
    <w:rsid w:val="00A91A93"/>
    <w:rsid w:val="00A95704"/>
    <w:rsid w:val="00A95E24"/>
    <w:rsid w:val="00A979E9"/>
    <w:rsid w:val="00AA0BA5"/>
    <w:rsid w:val="00AA3B96"/>
    <w:rsid w:val="00AB4FCC"/>
    <w:rsid w:val="00AB5D60"/>
    <w:rsid w:val="00AC14C4"/>
    <w:rsid w:val="00AC2EF0"/>
    <w:rsid w:val="00AC7ACB"/>
    <w:rsid w:val="00AD07C6"/>
    <w:rsid w:val="00AD2A78"/>
    <w:rsid w:val="00AD3796"/>
    <w:rsid w:val="00AD3909"/>
    <w:rsid w:val="00AD4C8A"/>
    <w:rsid w:val="00AE3AF1"/>
    <w:rsid w:val="00AF1435"/>
    <w:rsid w:val="00AF38F7"/>
    <w:rsid w:val="00AF3CB0"/>
    <w:rsid w:val="00AF4DBF"/>
    <w:rsid w:val="00AF6935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532D0"/>
    <w:rsid w:val="00B555C9"/>
    <w:rsid w:val="00B6369C"/>
    <w:rsid w:val="00B6598C"/>
    <w:rsid w:val="00B8171F"/>
    <w:rsid w:val="00B822A3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F6"/>
    <w:rsid w:val="00C25381"/>
    <w:rsid w:val="00C25892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44E0"/>
    <w:rsid w:val="00C703C2"/>
    <w:rsid w:val="00C7231A"/>
    <w:rsid w:val="00C7684A"/>
    <w:rsid w:val="00C83A79"/>
    <w:rsid w:val="00C84483"/>
    <w:rsid w:val="00C926B0"/>
    <w:rsid w:val="00C97617"/>
    <w:rsid w:val="00C97766"/>
    <w:rsid w:val="00CA00FE"/>
    <w:rsid w:val="00CA1243"/>
    <w:rsid w:val="00CA1CC4"/>
    <w:rsid w:val="00CB696F"/>
    <w:rsid w:val="00CB6F13"/>
    <w:rsid w:val="00CC7C78"/>
    <w:rsid w:val="00CD3646"/>
    <w:rsid w:val="00CD3F74"/>
    <w:rsid w:val="00CE4CAD"/>
    <w:rsid w:val="00CE730B"/>
    <w:rsid w:val="00CF5241"/>
    <w:rsid w:val="00D10945"/>
    <w:rsid w:val="00D15E0F"/>
    <w:rsid w:val="00D16E3D"/>
    <w:rsid w:val="00D2652E"/>
    <w:rsid w:val="00D320B5"/>
    <w:rsid w:val="00D33E62"/>
    <w:rsid w:val="00D409C9"/>
    <w:rsid w:val="00D4237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4B9C"/>
    <w:rsid w:val="00D91733"/>
    <w:rsid w:val="00D92093"/>
    <w:rsid w:val="00D92796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28A1"/>
    <w:rsid w:val="00DE4C13"/>
    <w:rsid w:val="00DF07F8"/>
    <w:rsid w:val="00DF689B"/>
    <w:rsid w:val="00E015E8"/>
    <w:rsid w:val="00E0357C"/>
    <w:rsid w:val="00E04DF0"/>
    <w:rsid w:val="00E04F4A"/>
    <w:rsid w:val="00E11532"/>
    <w:rsid w:val="00E30A28"/>
    <w:rsid w:val="00E31D41"/>
    <w:rsid w:val="00E34A0D"/>
    <w:rsid w:val="00E37BF8"/>
    <w:rsid w:val="00E40BD2"/>
    <w:rsid w:val="00E64884"/>
    <w:rsid w:val="00E701C0"/>
    <w:rsid w:val="00E761A7"/>
    <w:rsid w:val="00E766CD"/>
    <w:rsid w:val="00E849F5"/>
    <w:rsid w:val="00E90F04"/>
    <w:rsid w:val="00E93FFE"/>
    <w:rsid w:val="00E94075"/>
    <w:rsid w:val="00E971AB"/>
    <w:rsid w:val="00EA12ED"/>
    <w:rsid w:val="00EA4D11"/>
    <w:rsid w:val="00EA7511"/>
    <w:rsid w:val="00EB0002"/>
    <w:rsid w:val="00EB021B"/>
    <w:rsid w:val="00EB3ADD"/>
    <w:rsid w:val="00EB3C83"/>
    <w:rsid w:val="00EB7921"/>
    <w:rsid w:val="00EC0C90"/>
    <w:rsid w:val="00EC19FD"/>
    <w:rsid w:val="00EC2E17"/>
    <w:rsid w:val="00EC45E3"/>
    <w:rsid w:val="00EC6A53"/>
    <w:rsid w:val="00EC7148"/>
    <w:rsid w:val="00ED381B"/>
    <w:rsid w:val="00EE26B5"/>
    <w:rsid w:val="00EE56D5"/>
    <w:rsid w:val="00EE6A56"/>
    <w:rsid w:val="00EE7D5C"/>
    <w:rsid w:val="00EF370F"/>
    <w:rsid w:val="00EF3885"/>
    <w:rsid w:val="00EF6211"/>
    <w:rsid w:val="00F02E30"/>
    <w:rsid w:val="00F030A0"/>
    <w:rsid w:val="00F227BF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B0F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1\NOVIEMBRE%202011\Q2\Variaciones_Indices_Quin_95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 causas</a:t>
            </a:r>
            <a:r>
              <a:rPr lang="es-ES" sz="1400" baseline="0"/>
              <a:t>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7.3611111111111127E-2"/>
          <c:y val="0.20805118110236301"/>
          <c:w val="0.85833333333333361"/>
          <c:h val="0.68748589238845348"/>
        </c:manualLayout>
      </c:layout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-0.3050972222222223"/>
                  <c:y val="-0.1093799212598425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1365463692038502"/>
                  <c:y val="0.1131167979002625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Hoja2!$B$4:$B$5</c:f>
              <c:strCache>
                <c:ptCount val="2"/>
                <c:pt idx="0">
                  <c:v>Causas generales</c:v>
                </c:pt>
                <c:pt idx="1">
                  <c:v>Comercialización</c:v>
                </c:pt>
              </c:strCache>
            </c:strRef>
          </c:cat>
          <c:val>
            <c:numRef>
              <c:f>Hoja2!$D$4:$D$5</c:f>
              <c:numCache>
                <c:formatCode>0.00%</c:formatCode>
                <c:ptCount val="2"/>
                <c:pt idx="0">
                  <c:v>0.66666666666666663</c:v>
                </c:pt>
                <c:pt idx="1">
                  <c:v>0.33333333333333331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D9275-A525-440A-A53F-7D2FA02B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2740</TotalTime>
  <Pages>3</Pages>
  <Words>590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321</cp:revision>
  <cp:lastPrinted>2011-11-23T20:37:00Z</cp:lastPrinted>
  <dcterms:created xsi:type="dcterms:W3CDTF">2011-05-18T16:16:00Z</dcterms:created>
  <dcterms:modified xsi:type="dcterms:W3CDTF">2011-12-05T19:29:00Z</dcterms:modified>
</cp:coreProperties>
</file>