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C43CAA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Segunda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217E03">
        <w:rPr>
          <w:rFonts w:ascii="Century Gothic" w:eastAsia="Century Gothic" w:hAnsi="Century Gothic" w:cs="Calibri"/>
          <w:b/>
          <w:color w:val="595959"/>
          <w:lang w:eastAsia="es-ES" w:bidi="es-ES"/>
        </w:rPr>
        <w:t>Noviembre</w:t>
      </w:r>
      <w:r w:rsidR="00BB0B26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65444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3B5D54">
        <w:rPr>
          <w:rFonts w:ascii="Century Gothic" w:eastAsia="Century Gothic" w:hAnsi="Century Gothic" w:cs="Calibri"/>
          <w:b/>
          <w:color w:val="595959"/>
          <w:lang w:eastAsia="es-ES" w:bidi="es-ES"/>
        </w:rPr>
        <w:t>2019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33292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A50E1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17E03" w:rsidRPr="00217E03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C33AE8" w:rsidRPr="00C33A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9,99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Corvina de mar (8,91%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Azúcar blanca</w:t>
      </w:r>
      <w:r w:rsidR="002C4929" w:rsidRPr="002C492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17E03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,78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C063F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50E1F" w:rsidRPr="00A50E1F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6,86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33AE8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 xml:space="preserve">Pollo entero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99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 xml:space="preserve">); y, </w:t>
      </w:r>
      <w:r w:rsidR="00A50E1F" w:rsidRPr="00A50E1F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 xml:space="preserve">                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3,58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  <w:r w:rsidR="00C33A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625110" w:rsidRDefault="00A50E1F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50E1F">
        <w:rPr>
          <w:rFonts w:ascii="Century Gothic" w:hAnsi="Century Gothic" w:cs="Calibri"/>
          <w:sz w:val="20"/>
          <w:szCs w:val="20"/>
          <w:u w:val="single"/>
          <w:lang w:val="es-ES_tradnl"/>
        </w:rPr>
        <w:t>Fideos (9,99%)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1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921EE" w:rsidRPr="00BA17CD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901D8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B23CB6">
        <w:rPr>
          <w:rFonts w:ascii="Century Gothic" w:hAnsi="Century Gothic" w:cs="Calibri"/>
          <w:sz w:val="20"/>
          <w:szCs w:val="20"/>
          <w:lang w:val="es-ES_tradnl"/>
        </w:rPr>
        <w:t>en la mayoría de la</w:t>
      </w:r>
      <w:r w:rsidR="007B2E7B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>ciudades</w:t>
      </w:r>
      <w:r w:rsidR="004A146E" w:rsidRPr="00E54118">
        <w:rPr>
          <w:rFonts w:ascii="Century Gothic" w:hAnsi="Century Gothic" w:cs="Calibri"/>
          <w:sz w:val="20"/>
          <w:szCs w:val="20"/>
          <w:lang w:val="es-ES_tradnl"/>
        </w:rPr>
        <w:t xml:space="preserve"> investigadas</w:t>
      </w:r>
      <w:r w:rsidR="00AF6A91">
        <w:rPr>
          <w:rFonts w:ascii="Century Gothic" w:hAnsi="Century Gothic" w:cs="Calibri"/>
          <w:sz w:val="20"/>
          <w:szCs w:val="20"/>
          <w:lang w:val="es-ES_tradnl"/>
        </w:rPr>
        <w:t xml:space="preserve">,  excepto  en  </w:t>
      </w:r>
      <w:r w:rsidR="00E14917">
        <w:rPr>
          <w:rFonts w:ascii="Century Gothic" w:hAnsi="Century Gothic" w:cs="Calibri"/>
          <w:sz w:val="20"/>
          <w:szCs w:val="20"/>
          <w:lang w:val="es-ES_tradnl"/>
        </w:rPr>
        <w:t xml:space="preserve">Machala </w:t>
      </w:r>
      <w:r w:rsidR="0051643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14917">
        <w:rPr>
          <w:rFonts w:ascii="Century Gothic" w:hAnsi="Century Gothic" w:cs="Calibri"/>
          <w:sz w:val="20"/>
          <w:szCs w:val="20"/>
          <w:lang w:val="es-ES_tradnl"/>
        </w:rPr>
        <w:t>2,36%</w:t>
      </w:r>
      <w:r w:rsidR="00141DC1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B23CB6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846048">
        <w:rPr>
          <w:rFonts w:ascii="Century Gothic" w:hAnsi="Century Gothic" w:cs="Calibri"/>
          <w:sz w:val="20"/>
          <w:szCs w:val="20"/>
          <w:lang w:val="es-ES_tradnl"/>
        </w:rPr>
        <w:t xml:space="preserve"> Las ciudades de Cuenca y Loja no presentaron variación.</w:t>
      </w:r>
    </w:p>
    <w:p w:rsidR="00F27C77" w:rsidRPr="004A146E" w:rsidRDefault="00A50E1F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50E1F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(8,91%)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921EE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0C268A">
        <w:rPr>
          <w:rFonts w:ascii="Century Gothic" w:hAnsi="Century Gothic" w:cs="Calibri"/>
          <w:sz w:val="20"/>
          <w:szCs w:val="20"/>
          <w:lang w:val="es-ES_tradnl"/>
        </w:rPr>
        <w:t>varias d</w:t>
      </w:r>
      <w:r w:rsidR="00923265">
        <w:rPr>
          <w:rFonts w:ascii="Century Gothic" w:hAnsi="Century Gothic" w:cs="Calibri"/>
          <w:sz w:val="20"/>
          <w:szCs w:val="20"/>
          <w:lang w:val="es-ES_tradnl"/>
        </w:rPr>
        <w:t xml:space="preserve">e </w:t>
      </w:r>
      <w:r w:rsidR="000C268A">
        <w:rPr>
          <w:rFonts w:ascii="Century Gothic" w:hAnsi="Century Gothic" w:cs="Calibri"/>
          <w:sz w:val="20"/>
          <w:szCs w:val="20"/>
          <w:lang w:val="es-ES_tradnl"/>
        </w:rPr>
        <w:t xml:space="preserve">las 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6D13C7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es investigadas, excepto </w:t>
      </w:r>
      <w:r w:rsidR="00BA17CD" w:rsidRPr="00BA17CD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B40FE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250F">
        <w:rPr>
          <w:rFonts w:ascii="Century Gothic" w:hAnsi="Century Gothic" w:cs="Calibri"/>
          <w:sz w:val="20"/>
          <w:szCs w:val="20"/>
          <w:lang w:val="es-ES_tradnl"/>
        </w:rPr>
        <w:t>Esmeraldas (-</w:t>
      </w:r>
      <w:r w:rsidR="00B40FE6">
        <w:rPr>
          <w:rFonts w:ascii="Century Gothic" w:hAnsi="Century Gothic" w:cs="Calibri"/>
          <w:sz w:val="20"/>
          <w:szCs w:val="20"/>
          <w:lang w:val="es-ES_tradnl"/>
        </w:rPr>
        <w:t>1,06%</w:t>
      </w:r>
      <w:r w:rsidR="0078250F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9E670D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FA1D9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B0AD9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78250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57FF5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CB0AD9">
        <w:rPr>
          <w:rFonts w:ascii="Century Gothic" w:hAnsi="Century Gothic" w:cs="Calibri"/>
          <w:sz w:val="20"/>
          <w:szCs w:val="20"/>
          <w:lang w:val="es-ES_tradnl"/>
        </w:rPr>
        <w:t>0,</w:t>
      </w:r>
      <w:r w:rsidR="0078250F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CB0AD9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E57FF5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9E670D">
        <w:rPr>
          <w:rFonts w:ascii="Century Gothic" w:hAnsi="Century Gothic" w:cs="Calibri"/>
          <w:sz w:val="20"/>
          <w:szCs w:val="20"/>
          <w:lang w:val="es-ES_tradnl"/>
        </w:rPr>
        <w:t>.</w:t>
      </w:r>
      <w:bookmarkStart w:id="0" w:name="_GoBack"/>
      <w:bookmarkEnd w:id="0"/>
      <w:r w:rsidR="009E670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BA17CD" w:rsidRDefault="00A50E1F" w:rsidP="00BA17CD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50E1F">
        <w:rPr>
          <w:rFonts w:ascii="Century Gothic" w:hAnsi="Century Gothic" w:cs="Calibri"/>
          <w:sz w:val="20"/>
          <w:szCs w:val="20"/>
          <w:u w:val="single"/>
          <w:lang w:val="es-ES_tradnl"/>
        </w:rPr>
        <w:t>Azúcar blanca (2,78%)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15105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3901D8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precios en </w:t>
      </w:r>
      <w:r w:rsidR="00075309">
        <w:rPr>
          <w:rFonts w:ascii="Century Gothic" w:hAnsi="Century Gothic" w:cs="Calibri"/>
          <w:sz w:val="20"/>
          <w:szCs w:val="20"/>
          <w:lang w:val="es-ES_tradnl"/>
        </w:rPr>
        <w:t>la mayoría de las</w:t>
      </w:r>
      <w:r w:rsidR="00BE3198">
        <w:rPr>
          <w:rFonts w:ascii="Century Gothic" w:hAnsi="Century Gothic" w:cs="Calibri"/>
          <w:sz w:val="20"/>
          <w:szCs w:val="20"/>
          <w:lang w:val="es-ES_tradnl"/>
        </w:rPr>
        <w:t xml:space="preserve"> ciudades investigadas, excepto e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 xml:space="preserve">n </w:t>
      </w:r>
      <w:r w:rsidR="00075309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E57FF5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075309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E07AD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75309">
        <w:rPr>
          <w:rFonts w:ascii="Century Gothic" w:hAnsi="Century Gothic" w:cs="Calibri"/>
          <w:sz w:val="20"/>
          <w:szCs w:val="20"/>
          <w:lang w:val="es-ES_tradnl"/>
        </w:rPr>
        <w:t>88</w:t>
      </w:r>
      <w:r w:rsidR="00D52F7C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075309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7F1E8C" w:rsidRPr="007F1E8C" w:rsidRDefault="007F1E8C" w:rsidP="00BA17CD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D252B7" w:rsidRPr="008B52AE" w:rsidRDefault="00A50E1F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50E1F">
        <w:rPr>
          <w:rFonts w:ascii="Century Gothic" w:hAnsi="Century Gothic" w:cs="Calibri"/>
          <w:sz w:val="20"/>
          <w:szCs w:val="20"/>
          <w:u w:val="single"/>
          <w:lang w:val="es-ES_tradnl"/>
        </w:rPr>
        <w:t>Papa chola</w:t>
      </w:r>
      <w:r w:rsidR="002F02C0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</w:t>
      </w:r>
      <w:r w:rsidRPr="00A50E1F">
        <w:rPr>
          <w:rFonts w:ascii="Century Gothic" w:hAnsi="Century Gothic" w:cs="Calibri"/>
          <w:sz w:val="20"/>
          <w:szCs w:val="20"/>
          <w:u w:val="single"/>
          <w:lang w:val="es-ES_tradnl"/>
        </w:rPr>
        <w:t>(-6,86%)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08028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0738F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E6F32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F8738E">
        <w:rPr>
          <w:rFonts w:ascii="Century Gothic" w:hAnsi="Century Gothic" w:cs="Calibri"/>
          <w:sz w:val="20"/>
          <w:szCs w:val="20"/>
          <w:lang w:val="es-ES_tradnl"/>
        </w:rPr>
        <w:t>de las</w:t>
      </w:r>
      <w:r w:rsidR="00B1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ciudades investigadas, excepto en </w:t>
      </w:r>
      <w:r w:rsidR="00193F1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16AB6">
        <w:rPr>
          <w:rFonts w:ascii="Century Gothic" w:hAnsi="Century Gothic" w:cs="Calibri"/>
          <w:sz w:val="20"/>
          <w:szCs w:val="20"/>
          <w:lang w:val="es-ES_tradnl"/>
        </w:rPr>
        <w:t xml:space="preserve">Loja </w:t>
      </w:r>
      <w:r w:rsidR="0010738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C6563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216AB6">
        <w:rPr>
          <w:rFonts w:ascii="Century Gothic" w:hAnsi="Century Gothic" w:cs="Calibri"/>
          <w:sz w:val="20"/>
          <w:szCs w:val="20"/>
          <w:lang w:val="es-ES_tradnl"/>
        </w:rPr>
        <w:t>0,97</w:t>
      </w:r>
      <w:r w:rsidR="004C6F1C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216AB6">
        <w:rPr>
          <w:rFonts w:ascii="Century Gothic" w:hAnsi="Century Gothic" w:cs="Calibri"/>
          <w:sz w:val="20"/>
          <w:szCs w:val="20"/>
          <w:lang w:val="es-ES_tradnl"/>
        </w:rPr>
        <w:t xml:space="preserve"> Manta (3,29%); Machala (2,93%); </w:t>
      </w:r>
      <w:r w:rsidR="007C6563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216AB6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10738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16AB6">
        <w:rPr>
          <w:rFonts w:ascii="Century Gothic" w:hAnsi="Century Gothic" w:cs="Calibri"/>
          <w:sz w:val="20"/>
          <w:szCs w:val="20"/>
          <w:lang w:val="es-ES_tradnl"/>
        </w:rPr>
        <w:t>1,13</w:t>
      </w:r>
      <w:r w:rsidR="0010738F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C6563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1073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Default="00A50E1F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A50E1F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(-3,99%)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F02C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3901D8">
        <w:rPr>
          <w:rFonts w:ascii="Century Gothic" w:hAnsi="Century Gothic" w:cs="Calibri"/>
          <w:sz w:val="20"/>
          <w:szCs w:val="20"/>
          <w:lang w:val="es-ES_tradnl"/>
        </w:rPr>
        <w:t xml:space="preserve"> de precios</w:t>
      </w:r>
      <w:r w:rsidR="002F02C0">
        <w:rPr>
          <w:rFonts w:ascii="Century Gothic" w:hAnsi="Century Gothic" w:cs="Calibri"/>
          <w:sz w:val="20"/>
          <w:szCs w:val="20"/>
          <w:lang w:val="es-ES_tradnl"/>
        </w:rPr>
        <w:t xml:space="preserve"> en alguna</w:t>
      </w:r>
      <w:r w:rsidR="00DB1483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2F02C0">
        <w:rPr>
          <w:rFonts w:ascii="Century Gothic" w:hAnsi="Century Gothic" w:cs="Calibri"/>
          <w:sz w:val="20"/>
          <w:szCs w:val="20"/>
          <w:lang w:val="es-ES_tradnl"/>
        </w:rPr>
        <w:t xml:space="preserve"> de las ciudades investigadas; excepto </w:t>
      </w:r>
      <w:r w:rsidR="0010738F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2F02C0">
        <w:rPr>
          <w:rFonts w:ascii="Century Gothic" w:hAnsi="Century Gothic" w:cs="Calibri"/>
          <w:sz w:val="20"/>
          <w:szCs w:val="20"/>
          <w:lang w:val="es-ES_tradnl"/>
        </w:rPr>
        <w:t xml:space="preserve"> Manta (2,64%); y, Cuenca (1,42%)</w:t>
      </w:r>
      <w:r w:rsidR="005926CF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F27C77" w:rsidRDefault="00A50E1F" w:rsidP="009C6B52">
      <w:pPr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A50E1F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</w:t>
      </w:r>
      <w:r w:rsidRPr="00A50E1F">
        <w:rPr>
          <w:rFonts w:ascii="Century Gothic" w:hAnsi="Century Gothic" w:cs="Calibri"/>
          <w:sz w:val="20"/>
          <w:szCs w:val="20"/>
          <w:u w:val="single"/>
          <w:lang w:val="es-ES_tradnl"/>
        </w:rPr>
        <w:t>(-3,58%)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831158">
        <w:rPr>
          <w:rFonts w:ascii="Century Gothic" w:hAnsi="Century Gothic" w:cs="Calibri"/>
          <w:sz w:val="20"/>
          <w:szCs w:val="20"/>
          <w:lang w:val="es-ES_tradnl"/>
        </w:rPr>
        <w:t xml:space="preserve"> en varias 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>d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e las</w:t>
      </w:r>
      <w:r w:rsidR="00C919E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252B7" w:rsidRPr="004C510E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>investigadas, excepto en</w:t>
      </w:r>
      <w:r w:rsidR="0067294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>
        <w:rPr>
          <w:rFonts w:ascii="Century Gothic" w:hAnsi="Century Gothic" w:cs="Calibri"/>
          <w:sz w:val="20"/>
          <w:szCs w:val="20"/>
          <w:lang w:val="es-ES_tradnl"/>
        </w:rPr>
        <w:t xml:space="preserve">Manta (2,76%); y, Machala </w:t>
      </w:r>
      <w:r w:rsidR="0010738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31158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E76C2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31158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E76C28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10738F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67294D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AE1E0B">
        <w:rPr>
          <w:rFonts w:ascii="Century Gothic" w:hAnsi="Century Gothic" w:cs="Calibri"/>
          <w:sz w:val="20"/>
          <w:szCs w:val="20"/>
          <w:lang w:val="es-ES_tradnl"/>
        </w:rPr>
        <w:tab/>
      </w:r>
      <w:r w:rsidR="0067294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9E0" w:rsidRDefault="00C079E0" w:rsidP="00AA3DA1">
      <w:pPr>
        <w:spacing w:after="0" w:line="240" w:lineRule="auto"/>
      </w:pPr>
      <w:r>
        <w:separator/>
      </w:r>
    </w:p>
  </w:endnote>
  <w:endnote w:type="continuationSeparator" w:id="0">
    <w:p w:rsidR="00C079E0" w:rsidRDefault="00C079E0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9E0" w:rsidRDefault="00C079E0" w:rsidP="00AA3DA1">
      <w:pPr>
        <w:spacing w:after="0" w:line="240" w:lineRule="auto"/>
      </w:pPr>
      <w:r>
        <w:separator/>
      </w:r>
    </w:p>
  </w:footnote>
  <w:footnote w:type="continuationSeparator" w:id="0">
    <w:p w:rsidR="00C079E0" w:rsidRDefault="00C079E0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C43CAA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Segunda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 w:rsidR="00217E03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Noviem</w:t>
                          </w:r>
                          <w:r w:rsidR="00BB0B26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bre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3B5D54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C43CAA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Segunda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 w:rsidR="00217E03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Noviem</w:t>
                    </w:r>
                    <w:r w:rsidR="00BB0B26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bre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3B5D54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2019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eastAsia="es-ES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2E49"/>
    <w:rsid w:val="00023359"/>
    <w:rsid w:val="00023EBC"/>
    <w:rsid w:val="000247F7"/>
    <w:rsid w:val="00024A9B"/>
    <w:rsid w:val="00027C92"/>
    <w:rsid w:val="000306A9"/>
    <w:rsid w:val="00030DAA"/>
    <w:rsid w:val="00030F70"/>
    <w:rsid w:val="0003243D"/>
    <w:rsid w:val="00033B02"/>
    <w:rsid w:val="000343C2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48A5"/>
    <w:rsid w:val="000653C4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80288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1B58"/>
    <w:rsid w:val="000E2F3D"/>
    <w:rsid w:val="000E34F9"/>
    <w:rsid w:val="000E36C3"/>
    <w:rsid w:val="000E38DF"/>
    <w:rsid w:val="000E4FD9"/>
    <w:rsid w:val="000E5096"/>
    <w:rsid w:val="000E678A"/>
    <w:rsid w:val="000E68FB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A39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7E0"/>
    <w:rsid w:val="00152CDB"/>
    <w:rsid w:val="00156E18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053C"/>
    <w:rsid w:val="001E05E7"/>
    <w:rsid w:val="001E2817"/>
    <w:rsid w:val="001E3EE3"/>
    <w:rsid w:val="001E41BC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39FB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7E03"/>
    <w:rsid w:val="00217E7F"/>
    <w:rsid w:val="002205C7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1E80"/>
    <w:rsid w:val="002A481A"/>
    <w:rsid w:val="002A6FDF"/>
    <w:rsid w:val="002B0138"/>
    <w:rsid w:val="002B0AC6"/>
    <w:rsid w:val="002B1310"/>
    <w:rsid w:val="002B208C"/>
    <w:rsid w:val="002B69C5"/>
    <w:rsid w:val="002B6A00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29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C8D"/>
    <w:rsid w:val="002F13C7"/>
    <w:rsid w:val="002F2F31"/>
    <w:rsid w:val="002F305A"/>
    <w:rsid w:val="002F30A1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C10"/>
    <w:rsid w:val="00326E5D"/>
    <w:rsid w:val="00326FD6"/>
    <w:rsid w:val="003316FE"/>
    <w:rsid w:val="00332921"/>
    <w:rsid w:val="00332CE0"/>
    <w:rsid w:val="00333373"/>
    <w:rsid w:val="0033380C"/>
    <w:rsid w:val="0033595C"/>
    <w:rsid w:val="003360F9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375"/>
    <w:rsid w:val="003502A1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72F"/>
    <w:rsid w:val="00383E93"/>
    <w:rsid w:val="00384ED6"/>
    <w:rsid w:val="003851ED"/>
    <w:rsid w:val="00387C97"/>
    <w:rsid w:val="00387CCF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30F3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12C3"/>
    <w:rsid w:val="003E2388"/>
    <w:rsid w:val="003E258D"/>
    <w:rsid w:val="003E26CF"/>
    <w:rsid w:val="003E2795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846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1622"/>
    <w:rsid w:val="004222A4"/>
    <w:rsid w:val="0042238F"/>
    <w:rsid w:val="00422E27"/>
    <w:rsid w:val="00423036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26F"/>
    <w:rsid w:val="0048242D"/>
    <w:rsid w:val="00482680"/>
    <w:rsid w:val="00484766"/>
    <w:rsid w:val="00484AC1"/>
    <w:rsid w:val="00484CF0"/>
    <w:rsid w:val="0048535A"/>
    <w:rsid w:val="004869C7"/>
    <w:rsid w:val="00486EBD"/>
    <w:rsid w:val="00490187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AE0"/>
    <w:rsid w:val="004A4139"/>
    <w:rsid w:val="004A493C"/>
    <w:rsid w:val="004A7067"/>
    <w:rsid w:val="004A784A"/>
    <w:rsid w:val="004B0565"/>
    <w:rsid w:val="004B057E"/>
    <w:rsid w:val="004B06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43A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40D"/>
    <w:rsid w:val="005578C8"/>
    <w:rsid w:val="005613F2"/>
    <w:rsid w:val="005635A3"/>
    <w:rsid w:val="005650E8"/>
    <w:rsid w:val="0056590D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0B9E"/>
    <w:rsid w:val="00591427"/>
    <w:rsid w:val="005926CF"/>
    <w:rsid w:val="00592774"/>
    <w:rsid w:val="005933FA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34F4"/>
    <w:rsid w:val="005B386C"/>
    <w:rsid w:val="005B3BBD"/>
    <w:rsid w:val="005B42EB"/>
    <w:rsid w:val="005B4721"/>
    <w:rsid w:val="005B51AF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E2B9B"/>
    <w:rsid w:val="005E2FAB"/>
    <w:rsid w:val="005E51FF"/>
    <w:rsid w:val="005E6F32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4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47360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5A2"/>
    <w:rsid w:val="00761CAC"/>
    <w:rsid w:val="00763A63"/>
    <w:rsid w:val="00763BF0"/>
    <w:rsid w:val="00764C5C"/>
    <w:rsid w:val="00764C87"/>
    <w:rsid w:val="007650CB"/>
    <w:rsid w:val="0076528D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4F11"/>
    <w:rsid w:val="007C5473"/>
    <w:rsid w:val="007C5FF6"/>
    <w:rsid w:val="007C6563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4ADB"/>
    <w:rsid w:val="00805A7F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1F7A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1AC"/>
    <w:rsid w:val="00887091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11E4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098E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6702"/>
    <w:rsid w:val="00947533"/>
    <w:rsid w:val="0094765D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6E"/>
    <w:rsid w:val="00A00A2A"/>
    <w:rsid w:val="00A01EA1"/>
    <w:rsid w:val="00A02C74"/>
    <w:rsid w:val="00A02FD0"/>
    <w:rsid w:val="00A030DB"/>
    <w:rsid w:val="00A035CB"/>
    <w:rsid w:val="00A03E97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5B3"/>
    <w:rsid w:val="00A34E61"/>
    <w:rsid w:val="00A358FB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50E1F"/>
    <w:rsid w:val="00A5152F"/>
    <w:rsid w:val="00A51AAC"/>
    <w:rsid w:val="00A5291C"/>
    <w:rsid w:val="00A539D9"/>
    <w:rsid w:val="00A53D23"/>
    <w:rsid w:val="00A54105"/>
    <w:rsid w:val="00A54602"/>
    <w:rsid w:val="00A60462"/>
    <w:rsid w:val="00A604D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67AE3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A01"/>
    <w:rsid w:val="00AE1E0B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CB6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0FE6"/>
    <w:rsid w:val="00B42275"/>
    <w:rsid w:val="00B42344"/>
    <w:rsid w:val="00B42E4B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7CD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1879"/>
    <w:rsid w:val="00BC246F"/>
    <w:rsid w:val="00BC3ADD"/>
    <w:rsid w:val="00BC4051"/>
    <w:rsid w:val="00BC618D"/>
    <w:rsid w:val="00BD0703"/>
    <w:rsid w:val="00BD075A"/>
    <w:rsid w:val="00BD0960"/>
    <w:rsid w:val="00BD0B65"/>
    <w:rsid w:val="00BD0CC7"/>
    <w:rsid w:val="00BD12E1"/>
    <w:rsid w:val="00BD2EC2"/>
    <w:rsid w:val="00BD3BFE"/>
    <w:rsid w:val="00BE05A4"/>
    <w:rsid w:val="00BE0B07"/>
    <w:rsid w:val="00BE1588"/>
    <w:rsid w:val="00BE15CB"/>
    <w:rsid w:val="00BE16DD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4CA2"/>
    <w:rsid w:val="00BF56F3"/>
    <w:rsid w:val="00BF5B61"/>
    <w:rsid w:val="00BF6DFA"/>
    <w:rsid w:val="00C004E5"/>
    <w:rsid w:val="00C01143"/>
    <w:rsid w:val="00C015BD"/>
    <w:rsid w:val="00C0190A"/>
    <w:rsid w:val="00C023CD"/>
    <w:rsid w:val="00C02E87"/>
    <w:rsid w:val="00C0364A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E37"/>
    <w:rsid w:val="00C12129"/>
    <w:rsid w:val="00C1372D"/>
    <w:rsid w:val="00C144BC"/>
    <w:rsid w:val="00C14657"/>
    <w:rsid w:val="00C159D1"/>
    <w:rsid w:val="00C15A77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C37"/>
    <w:rsid w:val="00C81E12"/>
    <w:rsid w:val="00C82153"/>
    <w:rsid w:val="00C82520"/>
    <w:rsid w:val="00C836B2"/>
    <w:rsid w:val="00C85891"/>
    <w:rsid w:val="00C86103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40792"/>
    <w:rsid w:val="00D40F9C"/>
    <w:rsid w:val="00D417E0"/>
    <w:rsid w:val="00D432A2"/>
    <w:rsid w:val="00D434F0"/>
    <w:rsid w:val="00D4387E"/>
    <w:rsid w:val="00D43F18"/>
    <w:rsid w:val="00D440E4"/>
    <w:rsid w:val="00D45521"/>
    <w:rsid w:val="00D45EC6"/>
    <w:rsid w:val="00D46A7E"/>
    <w:rsid w:val="00D46CD9"/>
    <w:rsid w:val="00D46E19"/>
    <w:rsid w:val="00D473B5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A29"/>
    <w:rsid w:val="00D74060"/>
    <w:rsid w:val="00D74103"/>
    <w:rsid w:val="00D7419B"/>
    <w:rsid w:val="00D7630B"/>
    <w:rsid w:val="00D767A7"/>
    <w:rsid w:val="00D80CD5"/>
    <w:rsid w:val="00D81259"/>
    <w:rsid w:val="00D818B1"/>
    <w:rsid w:val="00D81AF4"/>
    <w:rsid w:val="00D829B5"/>
    <w:rsid w:val="00D82C3D"/>
    <w:rsid w:val="00D8305E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AE9"/>
    <w:rsid w:val="00DA511A"/>
    <w:rsid w:val="00DA6FF6"/>
    <w:rsid w:val="00DA7A91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1007F"/>
    <w:rsid w:val="00E10129"/>
    <w:rsid w:val="00E115DF"/>
    <w:rsid w:val="00E1233A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55C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D693F-D655-4DD4-A059-8AFE8D304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225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21</cp:revision>
  <cp:lastPrinted>2011-11-24T21:43:00Z</cp:lastPrinted>
  <dcterms:created xsi:type="dcterms:W3CDTF">2019-11-14T13:16:00Z</dcterms:created>
  <dcterms:modified xsi:type="dcterms:W3CDTF">2019-11-29T17:56:00Z</dcterms:modified>
</cp:coreProperties>
</file>