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F953C0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597A8E">
        <w:rPr>
          <w:rFonts w:ascii="Century Gothic" w:eastAsia="Century Gothic" w:hAnsi="Century Gothic" w:cs="Calibri"/>
          <w:b/>
          <w:color w:val="EE9F00"/>
          <w:lang w:eastAsia="es-ES" w:bidi="es-ES"/>
        </w:rPr>
        <w:t>Octu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proofErr w:type="gramEnd"/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48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Atún en aceite vegetal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98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 xml:space="preserve">Arroz flor                    </w:t>
      </w:r>
      <w:proofErr w:type="gramStart"/>
      <w:r w:rsidR="0015649F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C925F4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(2,48%)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F1B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C10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Manta, Santo Domingo, Quito y Ambato.  </w:t>
      </w:r>
    </w:p>
    <w:p w:rsidR="005751F2" w:rsidRDefault="00C925F4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(2,23%)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D720E0" w:rsidRPr="00D720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D720E0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; excepto en Quito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-0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; y, Manta (-0,31%)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 de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Ambato. 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917ADF" w:rsidRDefault="00C925F4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(1,98%)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50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94553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162895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1705B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05B1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C925F4" w:rsidP="00047E7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(-5,55%)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 xml:space="preserve"> mayoría de las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CF04A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>21,14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 xml:space="preserve">. No presenta variación de precios la ciudad de Machala.   </w:t>
      </w:r>
    </w:p>
    <w:p w:rsidR="004672EF" w:rsidRDefault="00C925F4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(-3,22%)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E37E4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</w:t>
      </w:r>
      <w:r w:rsidR="00285997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890D5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E43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, Esmeraldas (-5,93%), Guayaquil (-5,17%); y, Quito </w:t>
      </w:r>
      <w:r w:rsidR="00285997">
        <w:rPr>
          <w:rFonts w:ascii="Century Gothic" w:hAnsi="Century Gothic" w:cs="Calibri"/>
          <w:sz w:val="20"/>
          <w:szCs w:val="20"/>
          <w:lang w:val="es-ES_tradnl"/>
        </w:rPr>
        <w:t xml:space="preserve">                </w:t>
      </w:r>
      <w:proofErr w:type="gramStart"/>
      <w:r w:rsidR="00285997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8E6D07">
        <w:rPr>
          <w:rFonts w:ascii="Century Gothic" w:hAnsi="Century Gothic" w:cs="Calibri"/>
          <w:sz w:val="20"/>
          <w:szCs w:val="20"/>
          <w:lang w:val="es-ES_tradnl"/>
        </w:rPr>
        <w:t>-4,46%)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</w:t>
      </w:r>
      <w:r w:rsidR="00285997">
        <w:rPr>
          <w:rFonts w:ascii="Century Gothic" w:hAnsi="Century Gothic" w:cs="Calibri"/>
          <w:sz w:val="20"/>
          <w:szCs w:val="20"/>
          <w:lang w:val="es-ES_tradnl"/>
        </w:rPr>
        <w:t xml:space="preserve"> Machala,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 Manta</w:t>
      </w:r>
      <w:r w:rsidR="00285997">
        <w:rPr>
          <w:rFonts w:ascii="Century Gothic" w:hAnsi="Century Gothic" w:cs="Calibri"/>
          <w:sz w:val="20"/>
          <w:szCs w:val="20"/>
          <w:lang w:val="es-ES_tradnl"/>
        </w:rPr>
        <w:t>, Santo Domingo, Loja y Ambato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23131" w:rsidRDefault="00C925F4" w:rsidP="00CE4A4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Arroz flor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C925F4">
        <w:rPr>
          <w:rFonts w:ascii="Century Gothic" w:hAnsi="Century Gothic" w:cs="Calibri"/>
          <w:sz w:val="20"/>
          <w:szCs w:val="20"/>
          <w:u w:val="single"/>
          <w:lang w:val="es-ES_tradnl"/>
        </w:rPr>
        <w:t>(-2,02%)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8E1BDB">
        <w:rPr>
          <w:rFonts w:ascii="Century Gothic" w:hAnsi="Century Gothic" w:cs="Calibri"/>
          <w:sz w:val="20"/>
          <w:szCs w:val="20"/>
          <w:lang w:val="es-ES_tradnl"/>
        </w:rPr>
        <w:t xml:space="preserve"> algunas 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2D030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8E1BDB">
        <w:rPr>
          <w:rFonts w:ascii="Century Gothic" w:hAnsi="Century Gothic" w:cs="Calibri"/>
          <w:sz w:val="20"/>
          <w:szCs w:val="20"/>
          <w:lang w:val="es-ES_tradnl"/>
        </w:rPr>
        <w:t>; principalmente en</w:t>
      </w:r>
      <w:r w:rsidR="00D878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9756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97569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4B419E" w:rsidRPr="00C5296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9756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97569">
        <w:rPr>
          <w:rFonts w:ascii="Century Gothic" w:hAnsi="Century Gothic" w:cs="Calibri"/>
          <w:sz w:val="20"/>
          <w:szCs w:val="20"/>
          <w:lang w:val="es-ES_tradnl"/>
        </w:rPr>
        <w:t xml:space="preserve">, Cuenca y </w:t>
      </w:r>
      <w:r w:rsidR="00853BE5">
        <w:rPr>
          <w:rFonts w:ascii="Century Gothic" w:hAnsi="Century Gothic" w:cs="Calibri"/>
          <w:sz w:val="20"/>
          <w:szCs w:val="20"/>
          <w:lang w:val="es-ES_tradnl"/>
        </w:rPr>
        <w:t>Ambato (</w:t>
      </w:r>
      <w:r w:rsidR="00E97569">
        <w:rPr>
          <w:rFonts w:ascii="Century Gothic" w:hAnsi="Century Gothic" w:cs="Calibri"/>
          <w:sz w:val="20"/>
          <w:szCs w:val="20"/>
          <w:lang w:val="es-ES_tradnl"/>
        </w:rPr>
        <w:t>-5,90%)</w:t>
      </w:r>
      <w:r w:rsidR="00853BE5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 Guayaquil, Esmeraldas, Machala y Loj</w:t>
      </w:r>
      <w:bookmarkStart w:id="4" w:name="_GoBack"/>
      <w:bookmarkEnd w:id="4"/>
      <w:r w:rsidR="00853BE5">
        <w:rPr>
          <w:rFonts w:ascii="Century Gothic" w:hAnsi="Century Gothic" w:cs="Calibri"/>
          <w:sz w:val="20"/>
          <w:szCs w:val="20"/>
          <w:lang w:val="es-ES_tradnl"/>
        </w:rPr>
        <w:t>a.</w:t>
      </w:r>
      <w:r w:rsidR="0009055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B8D" w:rsidRDefault="001E7B8D" w:rsidP="00AA3DA1">
      <w:pPr>
        <w:spacing w:after="0" w:line="240" w:lineRule="auto"/>
      </w:pPr>
      <w:r>
        <w:separator/>
      </w:r>
    </w:p>
  </w:endnote>
  <w:endnote w:type="continuationSeparator" w:id="0">
    <w:p w:rsidR="001E7B8D" w:rsidRDefault="001E7B8D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9282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B8D" w:rsidRDefault="001E7B8D" w:rsidP="00AA3DA1">
      <w:pPr>
        <w:spacing w:after="0" w:line="240" w:lineRule="auto"/>
      </w:pPr>
      <w:r>
        <w:separator/>
      </w:r>
    </w:p>
  </w:footnote>
  <w:footnote w:type="continuationSeparator" w:id="0">
    <w:p w:rsidR="001E7B8D" w:rsidRDefault="001E7B8D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715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26E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E23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571CD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5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0B9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7BC58"/>
  <w15:docId w15:val="{013F4D19-4B17-4E73-AA93-0D07AD1A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DEA9-2EAE-4AFD-B715-564023FE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220</cp:revision>
  <cp:lastPrinted>2011-11-24T21:43:00Z</cp:lastPrinted>
  <dcterms:created xsi:type="dcterms:W3CDTF">2021-06-29T19:08:00Z</dcterms:created>
  <dcterms:modified xsi:type="dcterms:W3CDTF">2021-10-29T17:07:00Z</dcterms:modified>
</cp:coreProperties>
</file>