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5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75"/>
        <w:gridCol w:w="945"/>
        <w:gridCol w:w="875"/>
        <w:gridCol w:w="3136"/>
        <w:gridCol w:w="2217"/>
      </w:tblGrid>
      <w:tr w:rsidR="008E57E3" w:rsidTr="004D5A80">
        <w:trPr>
          <w:trHeight w:val="851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noWrap/>
            <w:vAlign w:val="center"/>
            <w:hideMark/>
          </w:tcPr>
          <w:p w:rsidR="008E57E3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3E3485" w:rsidTr="004D5A80">
        <w:trPr>
          <w:trHeight w:val="811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4C7A6E" w:rsidRDefault="008E57E3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NOMBRE DEL INDICADOR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A48" w:rsidRPr="004C7A6E" w:rsidRDefault="008A3762" w:rsidP="001F1F94">
            <w:pPr>
              <w:jc w:val="both"/>
              <w:rPr>
                <w:rFonts w:ascii="Arial" w:eastAsia="Times New Roman" w:hAnsi="Arial" w:cs="Arial"/>
                <w:b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  <w:t xml:space="preserve">Volumen de agua facturada por </w:t>
            </w:r>
            <w:r w:rsidR="001F1F94"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  <w:t>GAD Municipal</w:t>
            </w:r>
          </w:p>
        </w:tc>
      </w:tr>
      <w:tr w:rsidR="003E3485" w:rsidRPr="00F57A62" w:rsidTr="004D5A80">
        <w:trPr>
          <w:trHeight w:val="1063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4C7A6E" w:rsidRDefault="008E57E3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DEFINICIÓN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1EC" w:rsidRPr="004C7A6E" w:rsidRDefault="0091592E" w:rsidP="00A97218">
            <w:pPr>
              <w:jc w:val="both"/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Se refiere al </w:t>
            </w:r>
            <w:r w:rsidR="00DF66AB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volumen de agua </w:t>
            </w: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promedio </w:t>
            </w:r>
            <w:r w:rsidR="00DF66AB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facturado por motivo de </w:t>
            </w: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consumo en </w:t>
            </w:r>
            <w:r w:rsidR="00DF66AB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los </w:t>
            </w:r>
            <w:r w:rsidR="00F521FB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GAD</w:t>
            </w:r>
            <w:r w:rsidR="004F4F51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 Municipal</w:t>
            </w:r>
            <w:r w:rsidR="00DF66AB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es en </w:t>
            </w:r>
            <w:r w:rsidR="00A97218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un</w:t>
            </w:r>
            <w:r w:rsidR="00DF66AB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 periodo de un mes</w:t>
            </w: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.</w:t>
            </w:r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BD65F2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BD65F2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 xml:space="preserve">FÓRMULA </w:t>
            </w:r>
            <w:r w:rsidR="00103247" w:rsidRPr="00BD65F2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 CÁ</w:t>
            </w:r>
            <w:r w:rsidRPr="00BD65F2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LCULO</w:t>
            </w:r>
          </w:p>
        </w:tc>
      </w:tr>
      <w:tr w:rsidR="008E57E3" w:rsidTr="00451A0F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57E3" w:rsidRPr="004C7A6E" w:rsidRDefault="008E57E3" w:rsidP="009112A5">
            <w:pPr>
              <w:jc w:val="both"/>
              <w:rPr>
                <w:rFonts w:ascii="Cambria Math" w:eastAsia="Times New Roman" w:hAnsi="Cambria Math" w:cs="Arial"/>
                <w:color w:val="000000" w:themeColor="text1"/>
              </w:rPr>
            </w:pPr>
          </w:p>
          <w:p w:rsidR="001D6689" w:rsidRPr="004C7A6E" w:rsidRDefault="00101AEA" w:rsidP="00A87F38">
            <w:pPr>
              <w:jc w:val="both"/>
              <w:rPr>
                <w:rFonts w:ascii="Cambria Math" w:eastAsia="Times New Roman" w:hAnsi="Cambria Math" w:cs="Arial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VAFC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m3/pm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22"/>
                            <w:szCs w:val="22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color w:val="000000" w:themeColor="text1"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color w:val="000000" w:themeColor="text1"/>
                                <w:sz w:val="22"/>
                                <w:szCs w:val="22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color w:val="000000" w:themeColor="text1"/>
                                <w:sz w:val="22"/>
                                <w:szCs w:val="22"/>
                              </w:rPr>
                              <m:t>m3/pm</m:t>
                            </m:r>
                          </m:sub>
                        </m:sSub>
                      </m:e>
                    </m:nary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N</m:t>
                    </m:r>
                  </m:den>
                </m:f>
              </m:oMath>
            </m:oMathPara>
          </w:p>
          <w:p w:rsidR="00E96785" w:rsidRPr="004C7A6E" w:rsidRDefault="00297447" w:rsidP="00A87F38">
            <w:pPr>
              <w:jc w:val="both"/>
              <w:rPr>
                <w:rFonts w:ascii="Cambria Math" w:eastAsia="Times New Roman" w:hAnsi="Cambria Math" w:cs="Arial"/>
                <w:bCs/>
                <w:color w:val="000000" w:themeColor="text1"/>
                <w:lang w:val="es-EC"/>
              </w:rPr>
            </w:pPr>
            <w:r w:rsidRPr="004C7A6E">
              <w:rPr>
                <w:rFonts w:ascii="Cambria Math" w:eastAsia="Times New Roman" w:hAnsi="Cambria Math" w:cs="Arial"/>
                <w:bCs/>
                <w:color w:val="000000" w:themeColor="text1"/>
                <w:sz w:val="22"/>
                <w:szCs w:val="22"/>
                <w:lang w:val="es-EC"/>
              </w:rPr>
              <w:t>Dónde</w:t>
            </w:r>
            <w:r w:rsidR="00E96785" w:rsidRPr="004C7A6E">
              <w:rPr>
                <w:rFonts w:ascii="Cambria Math" w:eastAsia="Times New Roman" w:hAnsi="Cambria Math" w:cs="Arial"/>
                <w:bCs/>
                <w:color w:val="000000" w:themeColor="text1"/>
                <w:sz w:val="22"/>
                <w:szCs w:val="22"/>
                <w:lang w:val="es-EC"/>
              </w:rPr>
              <w:t>:</w:t>
            </w:r>
          </w:p>
          <w:p w:rsidR="00E96785" w:rsidRPr="004C7A6E" w:rsidRDefault="00101AEA" w:rsidP="00E96785">
            <w:pPr>
              <w:spacing w:before="240"/>
              <w:rPr>
                <w:rFonts w:ascii="Cambria Math" w:eastAsia="Times New Roman" w:hAnsi="Cambria Math" w:cs="Arial"/>
                <w:b/>
                <w:color w:val="000000" w:themeColor="text1"/>
                <w:lang w:val="es-EC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color w:val="000000" w:themeColor="text1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VAFC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m3/pm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eastAsia="Times New Roman" w:hAnsi="Cambria Math" w:cs="Arial"/>
                    <w:color w:val="000000" w:themeColor="text1"/>
                    <w:sz w:val="22"/>
                    <w:szCs w:val="22"/>
                    <w:lang w:val="es-EC"/>
                  </w:rPr>
                  <m:t>=Volumen de agua facturado por GAD Municipal (m3/pm)</m:t>
                </m:r>
              </m:oMath>
            </m:oMathPara>
          </w:p>
          <w:p w:rsidR="00AD237D" w:rsidRPr="004C7A6E" w:rsidRDefault="00AD237D" w:rsidP="00AD237D">
            <w:pPr>
              <w:jc w:val="both"/>
              <w:rPr>
                <w:rFonts w:ascii="Cambria Math" w:eastAsia="Times New Roman" w:hAnsi="Cambria Math" w:cs="Arial"/>
                <w:color w:val="000000" w:themeColor="text1"/>
                <w:lang w:val="es-EC"/>
              </w:rPr>
            </w:pPr>
          </w:p>
          <w:p w:rsidR="00AD237D" w:rsidRPr="004C7A6E" w:rsidRDefault="00101AEA" w:rsidP="00AD237D">
            <w:pPr>
              <w:rPr>
                <w:rFonts w:ascii="Cambria Math" w:eastAsia="Times New Roman" w:hAnsi="Cambria Math" w:cs="Arial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m3/pm</m:t>
                  </m:r>
                </m:sub>
              </m:sSub>
            </m:oMath>
            <w:r w:rsidR="00AD237D" w:rsidRPr="004C7A6E">
              <w:rPr>
                <w:rFonts w:ascii="Cambria Math" w:eastAsia="Times New Roman" w:hAnsi="Cambria Math" w:cs="Arial"/>
                <w:color w:val="000000" w:themeColor="text1"/>
                <w:sz w:val="22"/>
                <w:szCs w:val="22"/>
              </w:rPr>
              <w:t xml:space="preserve">=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 w:themeColor="text1"/>
                  <w:sz w:val="22"/>
                  <w:szCs w:val="22"/>
                </w:rPr>
                <m:t xml:space="preserve">Volumen promedio de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2"/>
                  <w:szCs w:val="22"/>
                </w:rPr>
                <m:t xml:space="preserve">agua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2"/>
                  <w:szCs w:val="22"/>
                </w:rPr>
                <m:t xml:space="preserve">apta para el consumo humano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2"/>
                  <w:szCs w:val="22"/>
                </w:rPr>
                <m:t xml:space="preserve"> facturado en un mes (m3/pm)</m:t>
              </m:r>
            </m:oMath>
          </w:p>
          <w:p w:rsidR="00DA1F43" w:rsidRPr="004C7A6E" w:rsidRDefault="00DA1F43" w:rsidP="00AD237D">
            <w:pPr>
              <w:rPr>
                <w:rFonts w:ascii="Cambria Math" w:eastAsia="Times New Roman" w:hAnsi="Cambria Math" w:cs="Arial"/>
                <w:color w:val="000000" w:themeColor="text1"/>
                <w:lang w:val="es-EC"/>
              </w:rPr>
            </w:pPr>
          </w:p>
          <w:p w:rsidR="009A6362" w:rsidRPr="00BD65F2" w:rsidRDefault="004C7A6E" w:rsidP="00DF66AB">
            <w:pPr>
              <w:spacing w:after="24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lang w:val="es-EC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2"/>
                  <w:szCs w:val="22"/>
                </w:rPr>
                <m:t>N</m:t>
              </m:r>
            </m:oMath>
            <w:r w:rsidR="00523F21" w:rsidRPr="004C7A6E">
              <w:rPr>
                <w:rFonts w:ascii="Cambria Math" w:eastAsia="Times New Roman" w:hAnsi="Cambria Math" w:cs="Arial"/>
                <w:bCs/>
                <w:color w:val="000000" w:themeColor="text1"/>
                <w:sz w:val="22"/>
                <w:szCs w:val="22"/>
                <w:lang w:val="es-EC"/>
              </w:rPr>
              <w:t xml:space="preserve"> =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 w:themeColor="text1"/>
                  <w:sz w:val="22"/>
                  <w:szCs w:val="22"/>
                  <w:lang w:val="es-EC"/>
                </w:rPr>
                <m:t>Numero de municipios que aportan información a la variable</m:t>
              </m:r>
            </m:oMath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4C7A6E" w:rsidRDefault="008E57E3" w:rsidP="004C7A6E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DEFINICIÓN DE LAS VARIABLES RELACIONADAS</w:t>
            </w:r>
          </w:p>
        </w:tc>
      </w:tr>
      <w:tr w:rsidR="00E96785" w:rsidTr="004D5A80">
        <w:trPr>
          <w:trHeight w:val="1728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17F" w:rsidRPr="004C7A6E" w:rsidRDefault="003E517F" w:rsidP="004C7A6E">
            <w:pPr>
              <w:jc w:val="both"/>
              <w:rPr>
                <w:rFonts w:ascii="Arial" w:hAnsi="Arial" w:cs="Arial"/>
                <w:b/>
                <w:color w:val="000000" w:themeColor="text1"/>
                <w:lang w:val="es-EC"/>
              </w:rPr>
            </w:pPr>
          </w:p>
          <w:p w:rsidR="00372160" w:rsidRPr="004C7A6E" w:rsidRDefault="00372160" w:rsidP="004C7A6E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4C7A6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Agua</w:t>
            </w:r>
            <w:r w:rsidR="00BC603C" w:rsidRPr="004C7A6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.-</w:t>
            </w:r>
            <w:r w:rsidR="00BC603C" w:rsidRPr="004C7A6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17F24" w:rsidRPr="004C7A6E">
              <w:rPr>
                <w:rFonts w:ascii="Arial" w:hAnsi="Arial" w:cs="Arial"/>
                <w:color w:val="000000" w:themeColor="text1"/>
                <w:sz w:val="22"/>
                <w:szCs w:val="22"/>
              </w:rPr>
              <w:t>Es la sustancia imprescindible para todos los seres vivos, es vector de vida y actividad humana.</w:t>
            </w:r>
          </w:p>
          <w:p w:rsidR="008D69F6" w:rsidRPr="004C7A6E" w:rsidRDefault="00372160" w:rsidP="004C7A6E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4C7A6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Agua </w:t>
            </w:r>
            <w:r w:rsidR="00F413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apta para el consumo humano</w:t>
            </w:r>
            <w:r w:rsidRPr="004C7A6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.-</w:t>
            </w:r>
            <w:r w:rsidRPr="004C7A6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</w:t>
            </w:r>
            <w:r w:rsidR="00B960F8" w:rsidRPr="004C7A6E">
              <w:rPr>
                <w:rFonts w:ascii="Arial" w:hAnsi="Arial" w:cs="Arial"/>
                <w:color w:val="000000" w:themeColor="text1"/>
                <w:sz w:val="22"/>
                <w:szCs w:val="22"/>
              </w:rPr>
              <w:t>s el agua a la que se le eliminó</w:t>
            </w:r>
            <w:r w:rsidRPr="004C7A6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bacterias y virus con desinfectante (cloro, ozono, luz ultravioleta, etc.) que puede ser consumida por el humano y reúne las características establecidas por las normas de calidad promulgadas por las autoridades locales e internacionales.</w:t>
            </w:r>
          </w:p>
          <w:p w:rsidR="00EA3EC4" w:rsidRPr="004C7A6E" w:rsidRDefault="002945BC" w:rsidP="004C7A6E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4C7A6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Gobierno Autónomo Descentralizado Municipal (GAD Municipal).- </w:t>
            </w:r>
            <w:r w:rsidRPr="004C7A6E">
              <w:rPr>
                <w:rFonts w:ascii="Arial" w:hAnsi="Arial" w:cs="Arial"/>
                <w:color w:val="000000" w:themeColor="text1"/>
                <w:sz w:val="22"/>
                <w:szCs w:val="22"/>
              </w:rPr>
              <w:t>Persona jurídica de derecho público, con autonomía política, administrativa y financiera.</w:t>
            </w:r>
          </w:p>
        </w:tc>
      </w:tr>
      <w:tr w:rsidR="00E96785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4C7A6E" w:rsidRDefault="00103247" w:rsidP="004C7A6E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METODOLOGÍA DE CÁ</w:t>
            </w:r>
            <w:r w:rsidR="00E96785"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LCULO</w:t>
            </w:r>
          </w:p>
        </w:tc>
      </w:tr>
      <w:tr w:rsidR="00E96785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6785" w:rsidRPr="004C7A6E" w:rsidRDefault="00E96785" w:rsidP="004C7A6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6162B7" w:rsidRDefault="00D6782C" w:rsidP="004C7A6E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4C7A6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Se calcula como </w:t>
            </w:r>
            <w:r w:rsidR="00846F51" w:rsidRPr="004C7A6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el cociente </w:t>
            </w:r>
            <w:r w:rsidR="002945BC" w:rsidRPr="004C7A6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entre el </w:t>
            </w:r>
            <w:r w:rsidR="009161A8" w:rsidRPr="004C7A6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volumen de agua </w:t>
            </w:r>
            <w:r w:rsidR="00F41357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apta para el consumo humano</w:t>
            </w:r>
            <w:r w:rsidR="009161A8" w:rsidRPr="004C7A6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</w:t>
            </w:r>
            <w:r w:rsidR="00A97218" w:rsidRPr="004C7A6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facturado en </w:t>
            </w:r>
            <w:r w:rsidR="004F4F51" w:rsidRPr="004C7A6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los GAD Municipales</w:t>
            </w:r>
            <w:r w:rsidR="002945BC" w:rsidRPr="004C7A6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, sobre el total de municipios a nivel nacional que aportan información.</w:t>
            </w:r>
          </w:p>
          <w:p w:rsidR="004C7A6E" w:rsidRPr="004C7A6E" w:rsidRDefault="004C7A6E" w:rsidP="004C7A6E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</w:p>
          <w:p w:rsidR="00307991" w:rsidRPr="004C7A6E" w:rsidRDefault="00307991" w:rsidP="004C7A6E">
            <w:pPr>
              <w:jc w:val="both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vAlign w:val="center"/>
          </w:tcPr>
          <w:p w:rsidR="004D5A80" w:rsidRPr="004C7A6E" w:rsidRDefault="004D5A80" w:rsidP="004C7A6E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lastRenderedPageBreak/>
              <w:t>LIMITACIONES TÉCNICAS</w:t>
            </w: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5A80" w:rsidRPr="004C7A6E" w:rsidRDefault="002945BC" w:rsidP="004C7A6E">
            <w:pPr>
              <w:jc w:val="both"/>
              <w:rPr>
                <w:rFonts w:ascii="Arial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aplica.</w:t>
            </w:r>
          </w:p>
        </w:tc>
      </w:tr>
      <w:tr w:rsidR="003E3485" w:rsidTr="004D5A80">
        <w:trPr>
          <w:trHeight w:val="48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4C7A6E" w:rsidRDefault="00E96785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 xml:space="preserve">UNIDAD DE MEDIDA </w:t>
            </w:r>
            <w:r w:rsidR="004D5A80"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 xml:space="preserve">O EXPRESIÓN </w:t>
            </w: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6785" w:rsidRPr="004C7A6E" w:rsidRDefault="009161A8" w:rsidP="004C7A6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Promedio de agua facturado</w:t>
            </w:r>
            <w:r w:rsidR="00DA3967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3E3485" w:rsidTr="004D5A80">
        <w:trPr>
          <w:trHeight w:val="1063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4C7A6E" w:rsidRDefault="00E96785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INTERPRETACIÓN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2FF" w:rsidRPr="004C7A6E" w:rsidRDefault="00CB02FF" w:rsidP="004C7A6E">
            <w:pPr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</w:p>
          <w:p w:rsidR="00943765" w:rsidRPr="004C7A6E" w:rsidRDefault="00A11201" w:rsidP="004C7A6E">
            <w:pPr>
              <w:spacing w:after="240"/>
              <w:ind w:right="-59"/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Valor </w:t>
            </w:r>
            <w:r w:rsidR="0085220F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promedio de </w:t>
            </w:r>
            <w:r w:rsidR="009B62B1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agua </w:t>
            </w:r>
            <w:r w:rsidR="009161A8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facturado</w:t>
            </w:r>
            <w:r w:rsidR="003F4C06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 por los GAD M</w:t>
            </w:r>
            <w:r w:rsidR="0085220F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unicipales en el Ecuador</w:t>
            </w:r>
            <w:r w:rsidR="003F4C06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, expresado en </w:t>
            </w:r>
            <w:r w:rsidR="009161A8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metros cúbicos por mes</w:t>
            </w:r>
            <w:r w:rsidR="0085220F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.</w:t>
            </w:r>
          </w:p>
        </w:tc>
      </w:tr>
      <w:tr w:rsidR="003E3485" w:rsidTr="004D5A80">
        <w:trPr>
          <w:trHeight w:val="528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FUENTE DE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967" w:rsidRPr="00AE2F58" w:rsidRDefault="00DA3967" w:rsidP="00DA3967">
            <w:pPr>
              <w:spacing w:before="240" w:after="240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9B62B1" w:rsidRPr="004C7A6E" w:rsidRDefault="00DA3967" w:rsidP="00DA3967">
            <w:pPr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3E3485" w:rsidTr="004D5A80">
        <w:trPr>
          <w:trHeight w:val="59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PERIODICIDAD DEL INDICADOR Y/O LAS VARIABLES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Anual</w:t>
            </w:r>
          </w:p>
        </w:tc>
      </w:tr>
      <w:tr w:rsidR="003E3485" w:rsidTr="004D5A80">
        <w:trPr>
          <w:trHeight w:val="38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DISPONIBILIDAD DE LOS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4C7A6E" w:rsidRDefault="002349D8" w:rsidP="004C7A6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2015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11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NIVEL DE DESAGREGACIÓN</w:t>
            </w: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GEOGRÁFICO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5258" w:rsidRPr="004C7A6E" w:rsidRDefault="009161A8" w:rsidP="004C7A6E">
            <w:pPr>
              <w:pStyle w:val="Prrafodelista"/>
              <w:numPr>
                <w:ilvl w:val="0"/>
                <w:numId w:val="2"/>
              </w:numPr>
              <w:spacing w:before="240" w:line="240" w:lineRule="auto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lang w:val="es-EC"/>
              </w:rPr>
              <w:t>Nacional</w:t>
            </w:r>
          </w:p>
          <w:p w:rsidR="009161A8" w:rsidRPr="004C7A6E" w:rsidRDefault="009161A8" w:rsidP="004C7A6E">
            <w:pPr>
              <w:pStyle w:val="Prrafodelista"/>
              <w:numPr>
                <w:ilvl w:val="0"/>
                <w:numId w:val="2"/>
              </w:numPr>
              <w:spacing w:before="240" w:line="240" w:lineRule="auto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lang w:val="es-EC"/>
              </w:rPr>
              <w:t>Regional</w:t>
            </w:r>
          </w:p>
          <w:p w:rsidR="00112102" w:rsidRPr="004C7A6E" w:rsidRDefault="009161A8" w:rsidP="004C7A6E">
            <w:pPr>
              <w:pStyle w:val="Prrafodelista"/>
              <w:numPr>
                <w:ilvl w:val="0"/>
                <w:numId w:val="2"/>
              </w:numPr>
              <w:spacing w:before="240" w:line="240" w:lineRule="auto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lang w:val="es-EC"/>
              </w:rPr>
              <w:t>Provincial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GENERAL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4C7A6E" w:rsidRDefault="0085220F" w:rsidP="004C7A6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OTROS ÁMBITOS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4C7A6E" w:rsidRDefault="009B62B1" w:rsidP="004C7A6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3E3485" w:rsidTr="004D5A80">
        <w:trPr>
          <w:trHeight w:val="51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INFORMACIÓN GEO – REFERENCIADA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3E3485" w:rsidTr="004D5A80">
        <w:trPr>
          <w:trHeight w:val="24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RELACIÓN CON  INSTRUMENTOS DE PLANIFICACIÓN NACIONAL O ACUERDOS, INICIATIVAS  INTERNACIONALES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B3E26" w:rsidRPr="004C7A6E" w:rsidRDefault="00FB3E26" w:rsidP="004C7A6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="UtopiaStd-Regular" w:hAnsi="Arial" w:cs="Arial"/>
                <w:b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Plan Nacional del Buen Vivir 2013-2017</w:t>
            </w:r>
          </w:p>
          <w:p w:rsidR="00FB3E26" w:rsidRPr="004C7A6E" w:rsidRDefault="00FB3E26" w:rsidP="004C7A6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Objetivo 3.-</w:t>
            </w:r>
            <w:r w:rsidRPr="004C7A6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Mejorar la calidad de vida de la población.</w:t>
            </w:r>
          </w:p>
          <w:p w:rsidR="00FB3E26" w:rsidRPr="004C7A6E" w:rsidRDefault="00FB3E26" w:rsidP="004C7A6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Política 3.10. </w:t>
            </w:r>
            <w:r w:rsidRPr="004C7A6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Garantizar el acceso universal, permanente, sostenible y con calidad a agua segura y a servicios básicos de saneamiento, con pertinencia territorial, ambiental, social y cultural</w:t>
            </w: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.</w:t>
            </w:r>
          </w:p>
          <w:p w:rsidR="00FB3E26" w:rsidRPr="004C7A6E" w:rsidRDefault="00FB3E26" w:rsidP="004C7A6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lastRenderedPageBreak/>
              <w:t>Literal a.-</w:t>
            </w:r>
            <w:r w:rsidRPr="004C7A6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Generar incentivos que permitan a los distintos niveles de gobierno ampliar la dotación de instalaciones y equipamientos suficientes y eficientes, para la prestación oportuna de servicios de agua y saneamiento, con criterios de sustentabilidad y salubridad</w:t>
            </w:r>
            <w:r w:rsidRPr="004C7A6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.</w:t>
            </w:r>
          </w:p>
          <w:p w:rsidR="00FB3E26" w:rsidRPr="004C7A6E" w:rsidRDefault="00FB3E26" w:rsidP="004C7A6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b.-</w:t>
            </w:r>
            <w:r w:rsidRPr="004C7A6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Fortalecer la capacidad de regulación, planificación y gestión de los distintos niveles de gobierno para lograr eficiencia y sostenibilidad en los servicios de agua y saneamiento.</w:t>
            </w:r>
          </w:p>
          <w:p w:rsidR="00FB3E26" w:rsidRPr="004C7A6E" w:rsidRDefault="00FB3E26" w:rsidP="004C7A6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i.- Apoyar el fortalecimiento progresivo de las capacidades de los gobiernos autónomos descentralizados para la prestación de servicios básicos, de acuerdo con sus competencias.</w:t>
            </w:r>
          </w:p>
          <w:p w:rsidR="00FB3E26" w:rsidRPr="004C7A6E" w:rsidRDefault="00FB3E26" w:rsidP="004C7A6E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</w:p>
          <w:p w:rsidR="00FB3E26" w:rsidRPr="004C7A6E" w:rsidRDefault="00FB3E26" w:rsidP="004C7A6E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Objetivo 7.-</w:t>
            </w:r>
            <w:r w:rsidRPr="004C7A6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Garantizar los derechos de la naturaleza y promover la sostenibilidad ambiental, territorial y global.</w:t>
            </w:r>
          </w:p>
          <w:p w:rsidR="00FB3E26" w:rsidRPr="004C7A6E" w:rsidRDefault="00FB3E26" w:rsidP="004C7A6E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Política 7.6.-</w:t>
            </w:r>
            <w:r w:rsidRPr="004C7A6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Gestionar de manera sustentable y participativa el patrimonio hídrico, con enfoque de cuencas y caudales ecológicos para asegurar el derecho humano al agua.</w:t>
            </w:r>
          </w:p>
          <w:p w:rsidR="00FB3E26" w:rsidRPr="004C7A6E" w:rsidRDefault="00FB3E26" w:rsidP="004C7A6E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c.- Establecer incentivos para aumentar la eficiencia en el uso de las fuentes hídricas y mejorar la sustentabilidad de los reservorios de aguas subterráneas y superficiales.</w:t>
            </w:r>
          </w:p>
          <w:p w:rsidR="00FB3E26" w:rsidRPr="004C7A6E" w:rsidRDefault="00FB3E26" w:rsidP="004C7A6E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Objetivo 10.-</w:t>
            </w:r>
            <w:r w:rsidRPr="004C7A6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Impulsar la transformación de la matriz productiva </w:t>
            </w:r>
          </w:p>
          <w:p w:rsidR="00FB3E26" w:rsidRPr="004C7A6E" w:rsidRDefault="00FB3E26" w:rsidP="004C7A6E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Política 10.9.- </w:t>
            </w:r>
            <w:r w:rsidRPr="004C7A6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Impulsar las condiciones de competitividad y productividad sistémica necesarias para viabilizar la transformación de la matriz productiva y la consolidación de estructuras más equitativas de generación y distribución de la riqueza.</w:t>
            </w:r>
          </w:p>
          <w:p w:rsidR="00350BBE" w:rsidRDefault="00FB3E26" w:rsidP="004C7A6E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Literal a.- Ampliar y mejorar la provisión, acceso calidad y eficiencia de los servicios públicos de agua </w:t>
            </w:r>
            <w:bookmarkStart w:id="0" w:name="_GoBack"/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potable</w:t>
            </w:r>
            <w:bookmarkEnd w:id="0"/>
            <w:r w:rsidRPr="004C7A6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, riego y drenaje, saneamiento energía eléctrica, telecomunicaciones, gas natural y el servicio postal.</w:t>
            </w:r>
          </w:p>
          <w:p w:rsidR="00447655" w:rsidRPr="00AE2F58" w:rsidRDefault="00447655" w:rsidP="004476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AE2F5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Objetivos de Desarrollo Sostenible</w:t>
            </w:r>
          </w:p>
          <w:p w:rsidR="00447655" w:rsidRPr="00AE2F58" w:rsidRDefault="00447655" w:rsidP="004476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</w:rPr>
              <w:t xml:space="preserve">Objetivo 6.- Agua Limpia y Saneamiento: 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Garantizar la disponibilidad de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274B7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agua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y su gestión 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lastRenderedPageBreak/>
              <w:t>sostenible y el saneamiento para todos.</w:t>
            </w:r>
          </w:p>
          <w:p w:rsidR="00447655" w:rsidRPr="00AE2F58" w:rsidRDefault="00447655" w:rsidP="00447655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AE2F58">
              <w:rPr>
                <w:rFonts w:ascii="Arial" w:eastAsia="Times New Roman" w:hAnsi="Arial" w:cs="Arial"/>
                <w:lang w:eastAsia="es-EC"/>
              </w:rPr>
              <w:t>Para 2030, lograr el acceso universal y equitativo al agua potable, a un precio asequible para todos</w:t>
            </w:r>
          </w:p>
          <w:p w:rsidR="00447655" w:rsidRPr="00AE2F58" w:rsidRDefault="00447655" w:rsidP="00447655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Para 2030, poner en práctica la gestión integrada de los recursos hídricos a todos los niveles, incluso mediante la cooperación transfronteriza, según proceda</w:t>
            </w:r>
          </w:p>
          <w:p w:rsidR="00447655" w:rsidRPr="00E22E18" w:rsidRDefault="00447655" w:rsidP="00447655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240"/>
              <w:jc w:val="both"/>
              <w:rPr>
                <w:rFonts w:ascii="Arial" w:eastAsia="UtopiaStd-Regular" w:hAnsi="Arial" w:cs="Arial"/>
                <w:lang w:val="es-EC" w:eastAsia="en-US"/>
              </w:rPr>
            </w:pPr>
            <w:r w:rsidRPr="00FE36D4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Para 2030, aumentar sustancialmente la utilización eficiente de los recursos hídricos en todos los sectores y asegurar la sostenibilidad de la extracción y el abastecimiento de agua dulce para hacer frente a la escasez de agua y reducir sustancialmente el número de personas que sufren de escasez de agua</w:t>
            </w:r>
            <w:r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.</w:t>
            </w:r>
          </w:p>
          <w:p w:rsidR="00447655" w:rsidRPr="00782FD2" w:rsidRDefault="00447655" w:rsidP="0044765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Theme="minorHAnsi" w:hAnsi="Arial" w:cs="Arial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Código  Orgánico  de Organización</w:t>
            </w: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 xml:space="preserve"> </w:t>
            </w: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Territorial, Autonomía  y  Descentralización 2012</w:t>
            </w:r>
          </w:p>
          <w:p w:rsidR="00447655" w:rsidRPr="004C7A6E" w:rsidRDefault="00447655" w:rsidP="00447655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Sección Primera. Gestión Directa Artículos No. 276 a 293</w:t>
            </w:r>
          </w:p>
        </w:tc>
      </w:tr>
      <w:tr w:rsidR="003E3485" w:rsidTr="001847B5">
        <w:trPr>
          <w:trHeight w:val="533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761E" w:rsidRPr="00447655" w:rsidRDefault="001847B5" w:rsidP="00F32ACE">
            <w:pPr>
              <w:spacing w:before="240" w:after="24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447655">
              <w:rPr>
                <w:rFonts w:ascii="Arial" w:hAnsi="Arial" w:cs="Arial"/>
                <w:b/>
                <w:color w:val="000000" w:themeColor="text1"/>
              </w:rPr>
              <w:t>RECOMENDACIONES INTERNACIONALES PARA LAS ESTADÍSTICAS DEL AGUA, Documento de las Naciones Unidas, 2012</w:t>
            </w:r>
            <w:r w:rsidR="00E26E8C" w:rsidRPr="00447655">
              <w:rPr>
                <w:rFonts w:ascii="Arial" w:hAnsi="Arial" w:cs="Arial"/>
                <w:b/>
                <w:color w:val="000000" w:themeColor="text1"/>
              </w:rPr>
              <w:t>.</w:t>
            </w:r>
          </w:p>
          <w:p w:rsidR="00447655" w:rsidRPr="008A40FF" w:rsidRDefault="00447655" w:rsidP="00F32ACE">
            <w:pPr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Código  Orgánico  de Organización  Territorial, Autonomía  y  Descentralización 2012 </w:t>
            </w:r>
          </w:p>
          <w:p w:rsidR="00447655" w:rsidRPr="008A40FF" w:rsidRDefault="00447655" w:rsidP="00F32ACE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Sección Primera. </w:t>
            </w:r>
          </w:p>
          <w:p w:rsidR="00447655" w:rsidRPr="008A40FF" w:rsidRDefault="00447655" w:rsidP="00F32ACE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Gestión Directa </w:t>
            </w:r>
          </w:p>
          <w:p w:rsidR="00447655" w:rsidRPr="008A40FF" w:rsidRDefault="00447655" w:rsidP="00F32ACE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Artículos No. 276 a 293  </w:t>
            </w:r>
          </w:p>
          <w:p w:rsidR="00447655" w:rsidRPr="008A40FF" w:rsidRDefault="00447655" w:rsidP="00F32ACE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447655" w:rsidRPr="008A40FF" w:rsidRDefault="00447655" w:rsidP="00F32ACE">
            <w:pPr>
              <w:spacing w:after="24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Plan Nacional del Buen Vivir 2013-2017 </w:t>
            </w: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 </w:t>
            </w:r>
          </w:p>
          <w:p w:rsidR="00447655" w:rsidRPr="00447655" w:rsidRDefault="00447655" w:rsidP="00F32ACE">
            <w:pPr>
              <w:spacing w:before="240"/>
              <w:jc w:val="both"/>
              <w:rPr>
                <w:rFonts w:ascii="Arial" w:eastAsiaTheme="minorHAnsi" w:hAnsi="Arial" w:cs="Arial"/>
                <w:color w:val="000000" w:themeColor="text1"/>
                <w:lang w:val="es-ES_tradnl"/>
              </w:rPr>
            </w:pPr>
            <w:r w:rsidRPr="00447655">
              <w:rPr>
                <w:rFonts w:ascii="Arial" w:hAnsi="Arial" w:cs="Arial"/>
                <w:b/>
                <w:color w:val="000000"/>
                <w:lang w:val="es-EC"/>
              </w:rPr>
              <w:t>Objetivos de Desarrollo Sostenible, Agenda 2030.</w:t>
            </w:r>
          </w:p>
        </w:tc>
      </w:tr>
      <w:tr w:rsidR="003E3485" w:rsidTr="004D5A80">
        <w:trPr>
          <w:trHeight w:val="79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FECHA DE ELABORACIÓN DE LA FICHA METODOLÓGICA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4C7A6E" w:rsidRDefault="00FE4AF6" w:rsidP="004C7A6E">
            <w:pPr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</w:t>
            </w:r>
            <w:r w:rsidR="003F4C06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6</w:t>
            </w:r>
            <w:r w:rsidR="00156638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</w:t>
            </w: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09</w:t>
            </w:r>
            <w:r w:rsidR="00112102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/201</w:t>
            </w:r>
            <w:r w:rsidR="00A92AA7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6</w:t>
            </w:r>
          </w:p>
        </w:tc>
      </w:tr>
      <w:tr w:rsidR="003E3485" w:rsidTr="004D5A80">
        <w:trPr>
          <w:trHeight w:val="781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FECHA DE LA ÚLTIMA ACTUALIZACIÓN DE LA FICHA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4C7A6E" w:rsidRDefault="005D7E80" w:rsidP="004C7A6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06</w:t>
            </w:r>
            <w:r w:rsidR="00C653EF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</w:t>
            </w:r>
            <w:r w:rsidR="00FE4AF6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09</w:t>
            </w:r>
            <w:r w:rsidR="00112102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/201</w:t>
            </w:r>
            <w:r w:rsidR="00C653EF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6</w:t>
            </w:r>
          </w:p>
        </w:tc>
      </w:tr>
      <w:tr w:rsidR="00FA1B15" w:rsidTr="004D5A80">
        <w:trPr>
          <w:trHeight w:val="61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CLASIFICADOR SECTORIAL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4C7A6E" w:rsidRDefault="00E26E8C" w:rsidP="004C7A6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hAnsi="Arial" w:cs="Arial"/>
                <w:color w:val="000000" w:themeColor="text1"/>
                <w:sz w:val="22"/>
                <w:szCs w:val="22"/>
              </w:rPr>
              <w:t>Ambiente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4C7A6E" w:rsidRDefault="00112102" w:rsidP="004C7A6E">
            <w:pPr>
              <w:jc w:val="center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</w:t>
            </w:r>
            <w:r w:rsidR="00E26E8C"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</w:t>
            </w:r>
          </w:p>
        </w:tc>
      </w:tr>
      <w:tr w:rsidR="003E3485" w:rsidTr="004D5A80">
        <w:trPr>
          <w:trHeight w:val="41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4C7A6E" w:rsidRDefault="00112102" w:rsidP="004C7A6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ELABORADO POR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4C7A6E" w:rsidRDefault="00A33B1E" w:rsidP="004C7A6E">
            <w:pPr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Dirección de Estadísticas Agropecuarias y Ambientales - Instituto Nacional de Estadística y </w:t>
            </w:r>
            <w:r w:rsidRPr="004C7A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lastRenderedPageBreak/>
              <w:t>Censos (INEC).</w:t>
            </w:r>
          </w:p>
        </w:tc>
      </w:tr>
    </w:tbl>
    <w:p w:rsidR="005D5A90" w:rsidRDefault="00101AEA" w:rsidP="00316342"/>
    <w:p w:rsidR="00CE5E29" w:rsidRDefault="00CE5E29" w:rsidP="00316342"/>
    <w:p w:rsidR="00CE5E29" w:rsidRDefault="00CE5E29" w:rsidP="00316342"/>
    <w:p w:rsidR="00CE5E29" w:rsidRDefault="00CE5E29" w:rsidP="00316342"/>
    <w:p w:rsidR="00CE5E29" w:rsidRDefault="00CE5E29" w:rsidP="00316342"/>
    <w:p w:rsidR="00CE5E29" w:rsidRDefault="00CE5E29" w:rsidP="00316342"/>
    <w:p w:rsidR="00CE5E29" w:rsidRDefault="00CE5E29" w:rsidP="00316342"/>
    <w:p w:rsidR="00CE5E29" w:rsidRDefault="00CE5E29" w:rsidP="00316342"/>
    <w:p w:rsidR="00CE5E29" w:rsidRDefault="00CE5E29" w:rsidP="00316342"/>
    <w:p w:rsidR="00CE5E29" w:rsidRDefault="00CE5E29" w:rsidP="00316342"/>
    <w:p w:rsidR="002F036A" w:rsidRDefault="002F036A" w:rsidP="00316342"/>
    <w:p w:rsidR="00415F37" w:rsidRDefault="00415F37" w:rsidP="00316342"/>
    <w:p w:rsidR="00415F37" w:rsidRDefault="00415F37" w:rsidP="00316342"/>
    <w:p w:rsidR="002F036A" w:rsidRDefault="002F036A" w:rsidP="00316342"/>
    <w:p w:rsidR="007B695A" w:rsidRDefault="007B695A" w:rsidP="00316342"/>
    <w:tbl>
      <w:tblPr>
        <w:tblW w:w="9600" w:type="dxa"/>
        <w:jc w:val="center"/>
        <w:tblCellSpacing w:w="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ANEXOS</w:t>
            </w:r>
          </w:p>
        </w:tc>
      </w:tr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 1: Algoritmo de cálculo del Indicador</w:t>
            </w:r>
          </w:p>
        </w:tc>
      </w:tr>
      <w:tr w:rsidR="00415F37" w:rsidRPr="00B1328E" w:rsidTr="00D05C6E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 xml:space="preserve">SINTAXIS </w:t>
            </w:r>
          </w:p>
        </w:tc>
      </w:tr>
      <w:tr w:rsidR="00415F37" w:rsidRPr="00C653EF" w:rsidTr="00D05C6E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F37" w:rsidRPr="00C653EF" w:rsidRDefault="00415F37" w:rsidP="009161A8">
            <w:pPr>
              <w:widowControl w:val="0"/>
              <w:autoSpaceDE w:val="0"/>
              <w:autoSpaceDN w:val="0"/>
              <w:adjustRightInd w:val="0"/>
              <w:spacing w:line="198" w:lineRule="exact"/>
              <w:ind w:left="617"/>
              <w:rPr>
                <w:rFonts w:ascii="Courier New" w:hAnsi="Courier New" w:cs="Courier New"/>
                <w:color w:val="000000"/>
                <w:position w:val="1"/>
                <w:sz w:val="18"/>
                <w:szCs w:val="18"/>
              </w:rPr>
            </w:pPr>
          </w:p>
        </w:tc>
      </w:tr>
      <w:tr w:rsidR="00415F37" w:rsidRPr="00B1328E" w:rsidTr="00D05C6E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both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2B65D7" w:rsidP="00D05C6E">
            <w:pPr>
              <w:jc w:val="both"/>
              <w:rPr>
                <w:rFonts w:ascii="Arial" w:eastAsiaTheme="minorHAnsi" w:hAnsi="Arial" w:cs="Arial"/>
                <w:lang w:val="es-EC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EC"/>
              </w:rPr>
              <w:t>2015</w:t>
            </w:r>
          </w:p>
        </w:tc>
      </w:tr>
    </w:tbl>
    <w:p w:rsidR="00415F37" w:rsidRDefault="00415F37" w:rsidP="00316342"/>
    <w:sectPr w:rsidR="00415F37" w:rsidSect="00DC6C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AEA" w:rsidRDefault="00101AEA" w:rsidP="00824626">
      <w:r>
        <w:separator/>
      </w:r>
    </w:p>
  </w:endnote>
  <w:endnote w:type="continuationSeparator" w:id="0">
    <w:p w:rsidR="00101AEA" w:rsidRDefault="00101AEA" w:rsidP="0082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GNFCH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topiaSt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AEA" w:rsidRDefault="00101AEA" w:rsidP="00824626">
      <w:r>
        <w:separator/>
      </w:r>
    </w:p>
  </w:footnote>
  <w:footnote w:type="continuationSeparator" w:id="0">
    <w:p w:rsidR="00101AEA" w:rsidRDefault="00101AEA" w:rsidP="00824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7920"/>
    <w:multiLevelType w:val="hybridMultilevel"/>
    <w:tmpl w:val="159EA672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27A38"/>
    <w:multiLevelType w:val="hybridMultilevel"/>
    <w:tmpl w:val="34A4F66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E4049"/>
    <w:multiLevelType w:val="hybridMultilevel"/>
    <w:tmpl w:val="0770C3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D4C05"/>
    <w:multiLevelType w:val="hybridMultilevel"/>
    <w:tmpl w:val="294E1A14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B15"/>
    <w:rsid w:val="000053D4"/>
    <w:rsid w:val="00014451"/>
    <w:rsid w:val="00027267"/>
    <w:rsid w:val="00052C30"/>
    <w:rsid w:val="00053307"/>
    <w:rsid w:val="00056DAF"/>
    <w:rsid w:val="00063680"/>
    <w:rsid w:val="00073D37"/>
    <w:rsid w:val="00085ABA"/>
    <w:rsid w:val="00091A22"/>
    <w:rsid w:val="000A2799"/>
    <w:rsid w:val="000A75A4"/>
    <w:rsid w:val="000C511E"/>
    <w:rsid w:val="000D072C"/>
    <w:rsid w:val="000D68B0"/>
    <w:rsid w:val="000D7B6D"/>
    <w:rsid w:val="000E4D51"/>
    <w:rsid w:val="000F2676"/>
    <w:rsid w:val="000F36A3"/>
    <w:rsid w:val="000F79EC"/>
    <w:rsid w:val="00101AEA"/>
    <w:rsid w:val="00103247"/>
    <w:rsid w:val="00112102"/>
    <w:rsid w:val="00114EDE"/>
    <w:rsid w:val="00117582"/>
    <w:rsid w:val="00117656"/>
    <w:rsid w:val="00123FE4"/>
    <w:rsid w:val="00144230"/>
    <w:rsid w:val="0014528E"/>
    <w:rsid w:val="001552C6"/>
    <w:rsid w:val="00156638"/>
    <w:rsid w:val="00181BB4"/>
    <w:rsid w:val="001847B5"/>
    <w:rsid w:val="001851B3"/>
    <w:rsid w:val="0019417D"/>
    <w:rsid w:val="00194D4C"/>
    <w:rsid w:val="00196BE8"/>
    <w:rsid w:val="001A4B9B"/>
    <w:rsid w:val="001A5D42"/>
    <w:rsid w:val="001B0689"/>
    <w:rsid w:val="001B1A84"/>
    <w:rsid w:val="001B2E60"/>
    <w:rsid w:val="001B426C"/>
    <w:rsid w:val="001D6689"/>
    <w:rsid w:val="001F1F94"/>
    <w:rsid w:val="001F434F"/>
    <w:rsid w:val="001F7BA8"/>
    <w:rsid w:val="00200733"/>
    <w:rsid w:val="00214813"/>
    <w:rsid w:val="00217F24"/>
    <w:rsid w:val="0022240C"/>
    <w:rsid w:val="00223F39"/>
    <w:rsid w:val="002349D8"/>
    <w:rsid w:val="00242A13"/>
    <w:rsid w:val="00242F64"/>
    <w:rsid w:val="00245815"/>
    <w:rsid w:val="00252015"/>
    <w:rsid w:val="002631D7"/>
    <w:rsid w:val="00263A69"/>
    <w:rsid w:val="00274B7B"/>
    <w:rsid w:val="002945BC"/>
    <w:rsid w:val="00297447"/>
    <w:rsid w:val="002B65D7"/>
    <w:rsid w:val="002E5C54"/>
    <w:rsid w:val="002F036A"/>
    <w:rsid w:val="002F3C7C"/>
    <w:rsid w:val="00307991"/>
    <w:rsid w:val="00313B1F"/>
    <w:rsid w:val="00316342"/>
    <w:rsid w:val="00321705"/>
    <w:rsid w:val="00324A1F"/>
    <w:rsid w:val="00330195"/>
    <w:rsid w:val="003372C1"/>
    <w:rsid w:val="003379D8"/>
    <w:rsid w:val="00350BBE"/>
    <w:rsid w:val="003557EE"/>
    <w:rsid w:val="00372160"/>
    <w:rsid w:val="0037709E"/>
    <w:rsid w:val="00384A5A"/>
    <w:rsid w:val="00386DC6"/>
    <w:rsid w:val="0038707C"/>
    <w:rsid w:val="00387A01"/>
    <w:rsid w:val="00387FE0"/>
    <w:rsid w:val="00397045"/>
    <w:rsid w:val="003B66D5"/>
    <w:rsid w:val="003D1FD8"/>
    <w:rsid w:val="003E3485"/>
    <w:rsid w:val="003E517F"/>
    <w:rsid w:val="003F2C3C"/>
    <w:rsid w:val="003F4C06"/>
    <w:rsid w:val="004138EF"/>
    <w:rsid w:val="00415F37"/>
    <w:rsid w:val="00420B4C"/>
    <w:rsid w:val="0042721E"/>
    <w:rsid w:val="00434F3D"/>
    <w:rsid w:val="00436FB2"/>
    <w:rsid w:val="00441972"/>
    <w:rsid w:val="00447655"/>
    <w:rsid w:val="00451A0F"/>
    <w:rsid w:val="0045570F"/>
    <w:rsid w:val="004646AC"/>
    <w:rsid w:val="00465530"/>
    <w:rsid w:val="00475782"/>
    <w:rsid w:val="004A6586"/>
    <w:rsid w:val="004B470B"/>
    <w:rsid w:val="004B6AEB"/>
    <w:rsid w:val="004B7BDD"/>
    <w:rsid w:val="004B7ED8"/>
    <w:rsid w:val="004C193B"/>
    <w:rsid w:val="004C7A6E"/>
    <w:rsid w:val="004D0CE5"/>
    <w:rsid w:val="004D31A9"/>
    <w:rsid w:val="004D5A80"/>
    <w:rsid w:val="004D69C3"/>
    <w:rsid w:val="004E168A"/>
    <w:rsid w:val="004F4F09"/>
    <w:rsid w:val="004F4F51"/>
    <w:rsid w:val="00501012"/>
    <w:rsid w:val="005043FA"/>
    <w:rsid w:val="00510518"/>
    <w:rsid w:val="00521064"/>
    <w:rsid w:val="00521E05"/>
    <w:rsid w:val="00523F21"/>
    <w:rsid w:val="00525317"/>
    <w:rsid w:val="00527563"/>
    <w:rsid w:val="005375EE"/>
    <w:rsid w:val="0054695E"/>
    <w:rsid w:val="0054728D"/>
    <w:rsid w:val="00554065"/>
    <w:rsid w:val="005553E3"/>
    <w:rsid w:val="00561C0D"/>
    <w:rsid w:val="00570E2A"/>
    <w:rsid w:val="00583C5C"/>
    <w:rsid w:val="00584FEC"/>
    <w:rsid w:val="0059356C"/>
    <w:rsid w:val="005A4565"/>
    <w:rsid w:val="005B097A"/>
    <w:rsid w:val="005B1237"/>
    <w:rsid w:val="005D139A"/>
    <w:rsid w:val="005D1426"/>
    <w:rsid w:val="005D541C"/>
    <w:rsid w:val="005D5F57"/>
    <w:rsid w:val="005D7E80"/>
    <w:rsid w:val="005E0D2E"/>
    <w:rsid w:val="005E2103"/>
    <w:rsid w:val="005F78AA"/>
    <w:rsid w:val="00600C32"/>
    <w:rsid w:val="00603389"/>
    <w:rsid w:val="006162B7"/>
    <w:rsid w:val="00631F69"/>
    <w:rsid w:val="00633FEB"/>
    <w:rsid w:val="006521D0"/>
    <w:rsid w:val="006676C7"/>
    <w:rsid w:val="0067243B"/>
    <w:rsid w:val="00676737"/>
    <w:rsid w:val="006772F5"/>
    <w:rsid w:val="00690E3C"/>
    <w:rsid w:val="00695BA8"/>
    <w:rsid w:val="006A1A0B"/>
    <w:rsid w:val="006A59F5"/>
    <w:rsid w:val="006B00C3"/>
    <w:rsid w:val="006C5B68"/>
    <w:rsid w:val="006D5004"/>
    <w:rsid w:val="006D6677"/>
    <w:rsid w:val="006F1BD2"/>
    <w:rsid w:val="006F70AC"/>
    <w:rsid w:val="0070448D"/>
    <w:rsid w:val="0070609C"/>
    <w:rsid w:val="007116E9"/>
    <w:rsid w:val="00717A28"/>
    <w:rsid w:val="007323CC"/>
    <w:rsid w:val="00733534"/>
    <w:rsid w:val="007400BC"/>
    <w:rsid w:val="00752EB8"/>
    <w:rsid w:val="00757734"/>
    <w:rsid w:val="00763C15"/>
    <w:rsid w:val="00764EC3"/>
    <w:rsid w:val="007675FF"/>
    <w:rsid w:val="007768CD"/>
    <w:rsid w:val="00780CD0"/>
    <w:rsid w:val="00787504"/>
    <w:rsid w:val="007A55B1"/>
    <w:rsid w:val="007B4DAF"/>
    <w:rsid w:val="007B695A"/>
    <w:rsid w:val="007C3D5E"/>
    <w:rsid w:val="007C6C79"/>
    <w:rsid w:val="007C7F63"/>
    <w:rsid w:val="007D08CA"/>
    <w:rsid w:val="007D1B70"/>
    <w:rsid w:val="007D4DAD"/>
    <w:rsid w:val="007E650F"/>
    <w:rsid w:val="007F2A87"/>
    <w:rsid w:val="00810FAE"/>
    <w:rsid w:val="0081464E"/>
    <w:rsid w:val="008227C7"/>
    <w:rsid w:val="00824626"/>
    <w:rsid w:val="00832F33"/>
    <w:rsid w:val="008353CD"/>
    <w:rsid w:val="00846F51"/>
    <w:rsid w:val="0085220F"/>
    <w:rsid w:val="0086033A"/>
    <w:rsid w:val="00867224"/>
    <w:rsid w:val="00873C19"/>
    <w:rsid w:val="0089715E"/>
    <w:rsid w:val="008A3762"/>
    <w:rsid w:val="008B05A0"/>
    <w:rsid w:val="008B4CDD"/>
    <w:rsid w:val="008C4D85"/>
    <w:rsid w:val="008D02DC"/>
    <w:rsid w:val="008D400F"/>
    <w:rsid w:val="008D4586"/>
    <w:rsid w:val="008D69F6"/>
    <w:rsid w:val="008D7C83"/>
    <w:rsid w:val="008E233A"/>
    <w:rsid w:val="008E4E35"/>
    <w:rsid w:val="008E57E3"/>
    <w:rsid w:val="008F2EC3"/>
    <w:rsid w:val="00913EFF"/>
    <w:rsid w:val="0091592E"/>
    <w:rsid w:val="009161A8"/>
    <w:rsid w:val="00916E28"/>
    <w:rsid w:val="00917079"/>
    <w:rsid w:val="00927A1E"/>
    <w:rsid w:val="00932C96"/>
    <w:rsid w:val="009332F8"/>
    <w:rsid w:val="0093465D"/>
    <w:rsid w:val="00942CF7"/>
    <w:rsid w:val="00943765"/>
    <w:rsid w:val="00950DE8"/>
    <w:rsid w:val="0096696A"/>
    <w:rsid w:val="00967FE0"/>
    <w:rsid w:val="00984EEE"/>
    <w:rsid w:val="0098705E"/>
    <w:rsid w:val="009A2144"/>
    <w:rsid w:val="009A3991"/>
    <w:rsid w:val="009A6362"/>
    <w:rsid w:val="009A6BF0"/>
    <w:rsid w:val="009B599F"/>
    <w:rsid w:val="009B62B1"/>
    <w:rsid w:val="009C1156"/>
    <w:rsid w:val="009C34B7"/>
    <w:rsid w:val="009D07C6"/>
    <w:rsid w:val="009D2951"/>
    <w:rsid w:val="009D47E8"/>
    <w:rsid w:val="009E4729"/>
    <w:rsid w:val="00A060BC"/>
    <w:rsid w:val="00A11201"/>
    <w:rsid w:val="00A11416"/>
    <w:rsid w:val="00A259A4"/>
    <w:rsid w:val="00A259AA"/>
    <w:rsid w:val="00A33B1E"/>
    <w:rsid w:val="00A469D3"/>
    <w:rsid w:val="00A515C8"/>
    <w:rsid w:val="00A51933"/>
    <w:rsid w:val="00A51EA3"/>
    <w:rsid w:val="00A579DD"/>
    <w:rsid w:val="00A73A10"/>
    <w:rsid w:val="00A842A6"/>
    <w:rsid w:val="00A855BD"/>
    <w:rsid w:val="00A87F38"/>
    <w:rsid w:val="00A92AA7"/>
    <w:rsid w:val="00A97218"/>
    <w:rsid w:val="00AA2668"/>
    <w:rsid w:val="00AB459E"/>
    <w:rsid w:val="00AB5F8D"/>
    <w:rsid w:val="00AC6EDF"/>
    <w:rsid w:val="00AD237D"/>
    <w:rsid w:val="00AD6BBA"/>
    <w:rsid w:val="00AD7749"/>
    <w:rsid w:val="00AE6364"/>
    <w:rsid w:val="00AF27F7"/>
    <w:rsid w:val="00B05258"/>
    <w:rsid w:val="00B05EAF"/>
    <w:rsid w:val="00B151CA"/>
    <w:rsid w:val="00B16F27"/>
    <w:rsid w:val="00B206C3"/>
    <w:rsid w:val="00B30E7D"/>
    <w:rsid w:val="00B44F00"/>
    <w:rsid w:val="00B54BB2"/>
    <w:rsid w:val="00B85835"/>
    <w:rsid w:val="00B960F8"/>
    <w:rsid w:val="00B9652B"/>
    <w:rsid w:val="00BA53FE"/>
    <w:rsid w:val="00BA69CC"/>
    <w:rsid w:val="00BA7FFC"/>
    <w:rsid w:val="00BC11A0"/>
    <w:rsid w:val="00BC603C"/>
    <w:rsid w:val="00BC626B"/>
    <w:rsid w:val="00BD65F2"/>
    <w:rsid w:val="00BD761E"/>
    <w:rsid w:val="00BE3BB5"/>
    <w:rsid w:val="00BF1A10"/>
    <w:rsid w:val="00C073BE"/>
    <w:rsid w:val="00C11FBF"/>
    <w:rsid w:val="00C238A8"/>
    <w:rsid w:val="00C306E6"/>
    <w:rsid w:val="00C44D05"/>
    <w:rsid w:val="00C45288"/>
    <w:rsid w:val="00C47E05"/>
    <w:rsid w:val="00C653EF"/>
    <w:rsid w:val="00C8321D"/>
    <w:rsid w:val="00C95DAD"/>
    <w:rsid w:val="00CB02FF"/>
    <w:rsid w:val="00CB1815"/>
    <w:rsid w:val="00CB6C21"/>
    <w:rsid w:val="00CC1DA6"/>
    <w:rsid w:val="00CC2AE8"/>
    <w:rsid w:val="00CC46D4"/>
    <w:rsid w:val="00CD0068"/>
    <w:rsid w:val="00CD4832"/>
    <w:rsid w:val="00CD515F"/>
    <w:rsid w:val="00CE0C34"/>
    <w:rsid w:val="00CE5E29"/>
    <w:rsid w:val="00CF0342"/>
    <w:rsid w:val="00CF0813"/>
    <w:rsid w:val="00CF1EC0"/>
    <w:rsid w:val="00CF3722"/>
    <w:rsid w:val="00CF3AFB"/>
    <w:rsid w:val="00D041F5"/>
    <w:rsid w:val="00D16423"/>
    <w:rsid w:val="00D17D7C"/>
    <w:rsid w:val="00D225EA"/>
    <w:rsid w:val="00D27F35"/>
    <w:rsid w:val="00D365C3"/>
    <w:rsid w:val="00D6415B"/>
    <w:rsid w:val="00D6782C"/>
    <w:rsid w:val="00D75C38"/>
    <w:rsid w:val="00D84220"/>
    <w:rsid w:val="00D85F88"/>
    <w:rsid w:val="00D878D6"/>
    <w:rsid w:val="00D93AAC"/>
    <w:rsid w:val="00D972DE"/>
    <w:rsid w:val="00D9756A"/>
    <w:rsid w:val="00DA1F43"/>
    <w:rsid w:val="00DA25ED"/>
    <w:rsid w:val="00DA3967"/>
    <w:rsid w:val="00DA523D"/>
    <w:rsid w:val="00DA5B30"/>
    <w:rsid w:val="00DB1489"/>
    <w:rsid w:val="00DB5DF0"/>
    <w:rsid w:val="00DC0D48"/>
    <w:rsid w:val="00DC6C6E"/>
    <w:rsid w:val="00DD208A"/>
    <w:rsid w:val="00DD44D3"/>
    <w:rsid w:val="00DE01D2"/>
    <w:rsid w:val="00DF37CC"/>
    <w:rsid w:val="00DF66AB"/>
    <w:rsid w:val="00E05323"/>
    <w:rsid w:val="00E13097"/>
    <w:rsid w:val="00E14D41"/>
    <w:rsid w:val="00E1623F"/>
    <w:rsid w:val="00E252F9"/>
    <w:rsid w:val="00E26E8C"/>
    <w:rsid w:val="00E271C1"/>
    <w:rsid w:val="00E32EA0"/>
    <w:rsid w:val="00E34741"/>
    <w:rsid w:val="00E34DE7"/>
    <w:rsid w:val="00E36CED"/>
    <w:rsid w:val="00E54E92"/>
    <w:rsid w:val="00E60ACC"/>
    <w:rsid w:val="00E62844"/>
    <w:rsid w:val="00E74011"/>
    <w:rsid w:val="00E77235"/>
    <w:rsid w:val="00E777D5"/>
    <w:rsid w:val="00E96785"/>
    <w:rsid w:val="00E974F2"/>
    <w:rsid w:val="00EA3EC4"/>
    <w:rsid w:val="00EC44C4"/>
    <w:rsid w:val="00EE41A6"/>
    <w:rsid w:val="00EF1E49"/>
    <w:rsid w:val="00F0090E"/>
    <w:rsid w:val="00F024D7"/>
    <w:rsid w:val="00F04B24"/>
    <w:rsid w:val="00F20CEF"/>
    <w:rsid w:val="00F216B1"/>
    <w:rsid w:val="00F21934"/>
    <w:rsid w:val="00F261EC"/>
    <w:rsid w:val="00F32911"/>
    <w:rsid w:val="00F32ACE"/>
    <w:rsid w:val="00F3567A"/>
    <w:rsid w:val="00F408D2"/>
    <w:rsid w:val="00F41357"/>
    <w:rsid w:val="00F42A43"/>
    <w:rsid w:val="00F47515"/>
    <w:rsid w:val="00F521FB"/>
    <w:rsid w:val="00F57A62"/>
    <w:rsid w:val="00F6306D"/>
    <w:rsid w:val="00F6737D"/>
    <w:rsid w:val="00F7228C"/>
    <w:rsid w:val="00F80BCC"/>
    <w:rsid w:val="00F8590A"/>
    <w:rsid w:val="00FA1B15"/>
    <w:rsid w:val="00FB2117"/>
    <w:rsid w:val="00FB3E26"/>
    <w:rsid w:val="00FC739D"/>
    <w:rsid w:val="00FD447B"/>
    <w:rsid w:val="00FD624E"/>
    <w:rsid w:val="00FE4AF6"/>
    <w:rsid w:val="00FF3A48"/>
    <w:rsid w:val="00FF50D5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1FBF"/>
    <w:rPr>
      <w:color w:val="808080"/>
    </w:rPr>
  </w:style>
  <w:style w:type="paragraph" w:customStyle="1" w:styleId="Default">
    <w:name w:val="Default"/>
    <w:rsid w:val="00917079"/>
    <w:pPr>
      <w:autoSpaceDE w:val="0"/>
      <w:autoSpaceDN w:val="0"/>
      <w:adjustRightInd w:val="0"/>
      <w:spacing w:after="0" w:line="240" w:lineRule="auto"/>
    </w:pPr>
    <w:rPr>
      <w:rFonts w:ascii="GGNFCH+Arial" w:hAnsi="GGNFCH+Arial" w:cs="GGNFCH+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oya\Documents\Indicadores%20SIEA\FM_Homologada_v3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B83A9-AD9B-4281-BF41-7CA4E4B5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FM_Homologada_v3</Template>
  <TotalTime>1766</TotalTime>
  <Pages>5</Pages>
  <Words>890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cmoya</dc:creator>
  <cp:lastModifiedBy>INEC Edison Villagrán</cp:lastModifiedBy>
  <cp:revision>44</cp:revision>
  <cp:lastPrinted>2015-01-27T18:45:00Z</cp:lastPrinted>
  <dcterms:created xsi:type="dcterms:W3CDTF">2015-01-21T20:32:00Z</dcterms:created>
  <dcterms:modified xsi:type="dcterms:W3CDTF">2016-10-27T16:36:00Z</dcterms:modified>
</cp:coreProperties>
</file>