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5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75"/>
        <w:gridCol w:w="945"/>
        <w:gridCol w:w="875"/>
        <w:gridCol w:w="3136"/>
        <w:gridCol w:w="2217"/>
      </w:tblGrid>
      <w:tr w:rsidR="008E57E3" w:rsidTr="004D5A80">
        <w:trPr>
          <w:trHeight w:val="851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noWrap/>
            <w:vAlign w:val="center"/>
            <w:hideMark/>
          </w:tcPr>
          <w:p w:rsidR="008E57E3" w:rsidRDefault="008E57E3" w:rsidP="003C3E4C">
            <w:pPr>
              <w:ind w:left="708" w:hanging="708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3E3485" w:rsidTr="004D5A80">
        <w:trPr>
          <w:trHeight w:val="811"/>
          <w:tblCellSpacing w:w="20" w:type="dxa"/>
        </w:trPr>
        <w:tc>
          <w:tcPr>
            <w:tcW w:w="1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Default="008E57E3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NOMBRE DEL INDICADOR</w:t>
            </w:r>
          </w:p>
        </w:tc>
        <w:tc>
          <w:tcPr>
            <w:tcW w:w="32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A48" w:rsidRPr="00A56C2A" w:rsidRDefault="006514C6" w:rsidP="009A2144">
            <w:pPr>
              <w:jc w:val="both"/>
              <w:rPr>
                <w:rFonts w:ascii="Arial" w:eastAsia="Times New Roman" w:hAnsi="Arial" w:cs="Arial"/>
                <w:b/>
                <w:lang w:val="es-EC"/>
              </w:rPr>
            </w:pPr>
            <w:r w:rsidRPr="006514C6">
              <w:rPr>
                <w:rFonts w:ascii="Arial" w:eastAsia="Times New Roman" w:hAnsi="Arial" w:cs="Arial"/>
                <w:b/>
                <w:lang w:val="es-EC"/>
              </w:rPr>
              <w:t>Aguas residuales tratadas</w:t>
            </w:r>
          </w:p>
        </w:tc>
      </w:tr>
      <w:tr w:rsidR="003E3485" w:rsidRPr="00F57A62" w:rsidTr="004D5A80">
        <w:trPr>
          <w:trHeight w:val="1063"/>
          <w:tblCellSpacing w:w="20" w:type="dxa"/>
        </w:trPr>
        <w:tc>
          <w:tcPr>
            <w:tcW w:w="1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1C77CD" w:rsidRDefault="008E57E3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DEFINICIÓN</w:t>
            </w:r>
          </w:p>
        </w:tc>
        <w:tc>
          <w:tcPr>
            <w:tcW w:w="32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1EC" w:rsidRPr="00F72754" w:rsidRDefault="0098705E" w:rsidP="00E732DE">
            <w:pPr>
              <w:jc w:val="both"/>
              <w:rPr>
                <w:rFonts w:ascii="Arial" w:eastAsiaTheme="minorEastAsia" w:hAnsi="Arial" w:cs="Arial"/>
                <w:color w:val="FF0000"/>
                <w:lang w:val="es-EC" w:eastAsia="es-EC"/>
              </w:rPr>
            </w:pPr>
            <w:r w:rsidRPr="00D01319">
              <w:rPr>
                <w:rFonts w:ascii="Arial" w:hAnsi="Arial" w:cs="Arial"/>
                <w:color w:val="000000" w:themeColor="text1"/>
                <w:sz w:val="22"/>
                <w:szCs w:val="22"/>
              </w:rPr>
              <w:t>Se refiere a</w:t>
            </w:r>
            <w:r w:rsidR="009474CF" w:rsidRPr="00D01319">
              <w:rPr>
                <w:rFonts w:ascii="Arial" w:hAnsi="Arial" w:cs="Arial"/>
                <w:color w:val="000000" w:themeColor="text1"/>
                <w:sz w:val="22"/>
                <w:szCs w:val="22"/>
              </w:rPr>
              <w:t>l porcentaje de</w:t>
            </w:r>
            <w:r w:rsidR="005E178B" w:rsidRPr="00D0131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E732DE">
              <w:rPr>
                <w:rFonts w:ascii="Arial" w:hAnsi="Arial" w:cs="Arial"/>
                <w:color w:val="000000" w:themeColor="text1"/>
                <w:sz w:val="22"/>
                <w:szCs w:val="22"/>
              </w:rPr>
              <w:t>aguas residuales tratadas en relación al caudal de agua descargada</w:t>
            </w:r>
            <w:r w:rsidR="00D01319" w:rsidRPr="00D0131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8E57E3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1C77CD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 xml:space="preserve">FÓRMULA </w:t>
            </w:r>
            <w:r w:rsidR="00103247"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DE CÁ</w:t>
            </w: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LCULO</w:t>
            </w:r>
          </w:p>
        </w:tc>
      </w:tr>
      <w:tr w:rsidR="008E57E3" w:rsidRPr="006F07AC" w:rsidTr="00451A0F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57E3" w:rsidRPr="001C77CD" w:rsidRDefault="008E57E3" w:rsidP="009112A5">
            <w:pPr>
              <w:jc w:val="both"/>
              <w:rPr>
                <w:rFonts w:ascii="Arial" w:eastAsia="Times New Roman" w:hAnsi="Arial" w:cs="Arial"/>
                <w:color w:val="000000" w:themeColor="text1"/>
              </w:rPr>
            </w:pPr>
          </w:p>
          <w:p w:rsidR="009F5A3A" w:rsidRDefault="009F5A3A" w:rsidP="00A87F38">
            <w:pPr>
              <w:jc w:val="both"/>
              <w:rPr>
                <w:rFonts w:ascii="Arial" w:eastAsia="Times New Roman" w:hAnsi="Arial" w:cs="Arial"/>
                <w:color w:val="000000" w:themeColor="text1"/>
              </w:rPr>
            </w:pPr>
          </w:p>
          <w:p w:rsidR="009F5A3A" w:rsidRPr="00B846AA" w:rsidRDefault="00BC5E21" w:rsidP="009F5A3A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color w:val="000000" w:themeColor="text1"/>
                        <w:sz w:val="20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 w:themeColor="text1"/>
                        <w:sz w:val="20"/>
                        <w:szCs w:val="28"/>
                      </w:rPr>
                      <m:t>ARtr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color w:val="000000" w:themeColor="text1"/>
                        <w:sz w:val="20"/>
                        <w:szCs w:val="28"/>
                      </w:rPr>
                      <m:t>(t)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 w:themeColor="text1"/>
                    <w:sz w:val="20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color w:val="000000" w:themeColor="text1"/>
                        <w:sz w:val="20"/>
                        <w:szCs w:val="28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Arial"/>
                            <w:color w:val="000000" w:themeColor="text1"/>
                            <w:sz w:val="20"/>
                            <w:szCs w:val="28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color w:val="000000" w:themeColor="text1"/>
                                <w:sz w:val="20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 w:themeColor="text1"/>
                                <w:sz w:val="20"/>
                                <w:szCs w:val="28"/>
                              </w:rPr>
                              <m:t>W</m:t>
                            </m:r>
                          </m:e>
                          <m:sub>
                            <m:d>
                              <m:dPr>
                                <m:ctrlPr>
                                  <w:rPr>
                                    <w:rFonts w:ascii="Cambria Math" w:eastAsia="Times New Roman" w:hAnsi="Cambria Math" w:cs="Arial"/>
                                    <w:color w:val="000000" w:themeColor="text1"/>
                                    <w:sz w:val="20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color w:val="000000" w:themeColor="text1"/>
                                    <w:sz w:val="20"/>
                                    <w:szCs w:val="28"/>
                                  </w:rPr>
                                  <m:t>lS</m:t>
                                </m:r>
                              </m:e>
                            </m:d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 w:themeColor="text1"/>
                                <w:sz w:val="20"/>
                                <w:szCs w:val="28"/>
                              </w:rPr>
                              <m:t xml:space="preserve">* 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Arial"/>
                                    <w:color w:val="000000" w:themeColor="text1"/>
                                    <w:sz w:val="20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color w:val="000000" w:themeColor="text1"/>
                                    <w:sz w:val="20"/>
                                    <w:szCs w:val="28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color w:val="000000" w:themeColor="text1"/>
                                    <w:sz w:val="20"/>
                                    <w:szCs w:val="28"/>
                                  </w:rPr>
                                  <m:t>(s)</m:t>
                                </m:r>
                              </m:sub>
                            </m:sSub>
                          </m:sub>
                        </m:sSub>
                      </m:e>
                    </m:nary>
                  </m:num>
                  <m:den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Arial"/>
                            <w:color w:val="000000" w:themeColor="text1"/>
                            <w:sz w:val="20"/>
                            <w:szCs w:val="28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color w:val="000000" w:themeColor="text1"/>
                                <w:sz w:val="20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 w:themeColor="text1"/>
                                <w:sz w:val="20"/>
                                <w:szCs w:val="28"/>
                              </w:rPr>
                              <m:t>Y</m:t>
                            </m:r>
                          </m:e>
                          <m:sub>
                            <m:d>
                              <m:dPr>
                                <m:ctrlPr>
                                  <w:rPr>
                                    <w:rFonts w:ascii="Cambria Math" w:eastAsia="Times New Roman" w:hAnsi="Cambria Math" w:cs="Arial"/>
                                    <w:color w:val="000000" w:themeColor="text1"/>
                                    <w:sz w:val="20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color w:val="000000" w:themeColor="text1"/>
                                    <w:sz w:val="20"/>
                                    <w:szCs w:val="28"/>
                                  </w:rPr>
                                  <m:t>ls</m:t>
                                </m:r>
                              </m:e>
                            </m:d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color w:val="000000" w:themeColor="text1"/>
                                <w:sz w:val="20"/>
                                <w:szCs w:val="28"/>
                              </w:rPr>
                              <m:t>*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Arial"/>
                                    <w:color w:val="000000" w:themeColor="text1"/>
                                    <w:sz w:val="20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color w:val="000000" w:themeColor="text1"/>
                                    <w:sz w:val="20"/>
                                    <w:szCs w:val="28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color w:val="000000" w:themeColor="text1"/>
                                    <w:sz w:val="20"/>
                                    <w:szCs w:val="28"/>
                                  </w:rPr>
                                  <m:t>(s)</m:t>
                                </m:r>
                              </m:sub>
                            </m:sSub>
                          </m:sub>
                        </m:sSub>
                      </m:e>
                    </m:nary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 w:themeColor="text1"/>
                    <w:sz w:val="20"/>
                    <w:szCs w:val="28"/>
                  </w:rPr>
                  <m:t>*100</m:t>
                </m:r>
              </m:oMath>
            </m:oMathPara>
          </w:p>
          <w:p w:rsidR="00E96785" w:rsidRPr="00B846AA" w:rsidRDefault="00297447" w:rsidP="00A87F38">
            <w:pPr>
              <w:jc w:val="both"/>
              <w:rPr>
                <w:rFonts w:ascii="Cambria Math" w:eastAsia="Times New Roman" w:hAnsi="Cambria Math" w:cs="Arial"/>
                <w:bCs/>
                <w:color w:val="000000" w:themeColor="text1"/>
                <w:sz w:val="22"/>
                <w:lang w:val="es-EC"/>
              </w:rPr>
            </w:pPr>
            <w:r w:rsidRPr="00B846AA">
              <w:rPr>
                <w:rFonts w:ascii="Cambria Math" w:eastAsia="Times New Roman" w:hAnsi="Cambria Math" w:cs="Arial"/>
                <w:bCs/>
                <w:color w:val="000000" w:themeColor="text1"/>
                <w:sz w:val="20"/>
                <w:szCs w:val="22"/>
                <w:lang w:val="es-EC"/>
              </w:rPr>
              <w:t>Dónde</w:t>
            </w:r>
            <w:r w:rsidR="00E96785" w:rsidRPr="00B846AA">
              <w:rPr>
                <w:rFonts w:ascii="Cambria Math" w:eastAsia="Times New Roman" w:hAnsi="Cambria Math" w:cs="Arial"/>
                <w:bCs/>
                <w:color w:val="000000" w:themeColor="text1"/>
                <w:sz w:val="20"/>
                <w:szCs w:val="22"/>
                <w:lang w:val="es-EC"/>
              </w:rPr>
              <w:t>:</w:t>
            </w:r>
          </w:p>
          <w:p w:rsidR="00E96785" w:rsidRPr="00B846AA" w:rsidRDefault="00BC5E21" w:rsidP="00E96785">
            <w:pPr>
              <w:spacing w:before="240"/>
              <w:rPr>
                <w:rFonts w:ascii="Cambria Math" w:eastAsia="Times New Roman" w:hAnsi="Cambria Math" w:cs="Arial"/>
                <w:b/>
                <w:color w:val="000000" w:themeColor="text1"/>
                <w:sz w:val="22"/>
                <w:lang w:val="es-EC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color w:val="000000" w:themeColor="text1"/>
                        <w:sz w:val="20"/>
                        <w:szCs w:val="22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2"/>
                      </w:rPr>
                      <m:t>ARtr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000000" w:themeColor="text1"/>
                        <w:sz w:val="20"/>
                        <w:szCs w:val="22"/>
                      </w:rPr>
                      <m:t>(t)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eastAsia="Times New Roman" w:hAnsi="Cambria Math" w:cs="Arial"/>
                    <w:color w:val="000000" w:themeColor="text1"/>
                    <w:sz w:val="20"/>
                    <w:szCs w:val="22"/>
                    <w:lang w:val="es-EC"/>
                  </w:rPr>
                  <m:t>=Porcentaje de aguas residuales tratadas en el periodo de tiempo t.</m:t>
                </m:r>
              </m:oMath>
            </m:oMathPara>
          </w:p>
          <w:p w:rsidR="007B603D" w:rsidRPr="00B846AA" w:rsidRDefault="00BC5E21" w:rsidP="007B603D">
            <w:pPr>
              <w:spacing w:before="240" w:after="240"/>
              <w:rPr>
                <w:rFonts w:ascii="Cambria Math" w:eastAsia="Times New Roman" w:hAnsi="Cambria Math" w:cs="Arial"/>
                <w:color w:val="000000" w:themeColor="text1"/>
                <w:sz w:val="22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color w:val="000000" w:themeColor="text1"/>
                      <w:sz w:val="20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0"/>
                      <w:szCs w:val="22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0"/>
                      <w:szCs w:val="22"/>
                    </w:rPr>
                    <m:t>(l/s)</m:t>
                  </m:r>
                </m:sub>
              </m:sSub>
            </m:oMath>
            <w:r w:rsidR="007B603D" w:rsidRPr="00B846AA">
              <w:rPr>
                <w:rFonts w:ascii="Cambria Math" w:eastAsia="Times New Roman" w:hAnsi="Cambria Math" w:cs="Arial"/>
                <w:color w:val="000000" w:themeColor="text1"/>
                <w:sz w:val="20"/>
                <w:szCs w:val="22"/>
              </w:rPr>
              <w:t xml:space="preserve">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  <w:sz w:val="20"/>
                  <w:szCs w:val="22"/>
                </w:rPr>
                <m:t xml:space="preserve">Caudal de ingreso de agua residual (l/s)   </m:t>
              </m:r>
            </m:oMath>
          </w:p>
          <w:p w:rsidR="00757D02" w:rsidRPr="00B846AA" w:rsidRDefault="00BC5E21" w:rsidP="00757D02">
            <w:pPr>
              <w:rPr>
                <w:rFonts w:ascii="Cambria Math" w:eastAsia="Times New Roman" w:hAnsi="Cambria Math" w:cs="Arial"/>
                <w:color w:val="000000" w:themeColor="text1"/>
                <w:sz w:val="22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color w:val="000000" w:themeColor="text1"/>
                      <w:sz w:val="20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0"/>
                      <w:szCs w:val="22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0"/>
                      <w:szCs w:val="22"/>
                    </w:rPr>
                    <m:t>(l/s)</m:t>
                  </m:r>
                </m:sub>
              </m:sSub>
            </m:oMath>
            <w:r w:rsidR="00757D02" w:rsidRPr="00B846AA">
              <w:rPr>
                <w:rFonts w:ascii="Cambria Math" w:eastAsia="Times New Roman" w:hAnsi="Cambria Math" w:cs="Arial"/>
                <w:color w:val="000000" w:themeColor="text1"/>
                <w:sz w:val="20"/>
                <w:szCs w:val="22"/>
              </w:rPr>
              <w:t xml:space="preserve">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  <w:sz w:val="20"/>
                  <w:szCs w:val="22"/>
                </w:rPr>
                <m:t xml:space="preserve">Caudal de descarga de Agua Residual (l/s)   </m:t>
              </m:r>
            </m:oMath>
          </w:p>
          <w:p w:rsidR="00114842" w:rsidRPr="00B846AA" w:rsidRDefault="00114842" w:rsidP="00AD237D">
            <w:pPr>
              <w:rPr>
                <w:rFonts w:ascii="Cambria Math" w:eastAsia="Times New Roman" w:hAnsi="Cambria Math" w:cs="Arial"/>
                <w:color w:val="000000" w:themeColor="text1"/>
                <w:sz w:val="22"/>
              </w:rPr>
            </w:pPr>
          </w:p>
          <w:p w:rsidR="00E03545" w:rsidRPr="00295717" w:rsidRDefault="00BC5E21" w:rsidP="00E03545">
            <w:pPr>
              <w:spacing w:after="240"/>
              <w:rPr>
                <w:rFonts w:ascii="Arial" w:eastAsia="Times New Roman" w:hAnsi="Arial" w:cs="Arial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color w:val="000000" w:themeColor="text1"/>
                      <w:sz w:val="20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0"/>
                      <w:szCs w:val="22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0"/>
                      <w:szCs w:val="22"/>
                    </w:rPr>
                    <m:t>(s)</m:t>
                  </m:r>
                </m:sub>
              </m:sSub>
            </m:oMath>
            <w:r w:rsidR="00114842" w:rsidRPr="00B846AA">
              <w:rPr>
                <w:rFonts w:ascii="Cambria Math" w:eastAsia="Times New Roman" w:hAnsi="Cambria Math" w:cs="Arial"/>
                <w:color w:val="000000" w:themeColor="text1"/>
                <w:sz w:val="20"/>
                <w:szCs w:val="22"/>
              </w:rPr>
              <w:t xml:space="preserve">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  <w:sz w:val="20"/>
                  <w:szCs w:val="22"/>
                </w:rPr>
                <m:t>Factor multiplicador tiempo (s)</m:t>
              </m:r>
              <m:r>
                <w:rPr>
                  <w:rFonts w:ascii="Cambria Math" w:hAnsi="Cambria Math" w:cs="Arial"/>
                  <w:color w:val="000000" w:themeColor="text1"/>
                  <w:sz w:val="20"/>
                  <w:szCs w:val="22"/>
                </w:rPr>
                <m:t xml:space="preserve">  </m:t>
              </m:r>
            </m:oMath>
          </w:p>
        </w:tc>
      </w:tr>
      <w:tr w:rsidR="008E57E3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1C77CD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DEFINICIÓN DE LAS VARIABLES RELACIONADAS</w:t>
            </w:r>
          </w:p>
        </w:tc>
      </w:tr>
      <w:tr w:rsidR="00E96785" w:rsidTr="004D5A80">
        <w:trPr>
          <w:trHeight w:val="1728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517F" w:rsidRPr="001C77CD" w:rsidRDefault="003E517F" w:rsidP="006373B8">
            <w:pPr>
              <w:jc w:val="both"/>
              <w:rPr>
                <w:b/>
                <w:color w:val="000000" w:themeColor="text1"/>
                <w:sz w:val="18"/>
                <w:lang w:val="es-EC"/>
              </w:rPr>
            </w:pPr>
          </w:p>
          <w:p w:rsidR="00757D02" w:rsidRDefault="00757D02" w:rsidP="002631D7">
            <w:pPr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757D02">
              <w:rPr>
                <w:rFonts w:ascii="Arial" w:hAnsi="Arial" w:cs="Arial"/>
                <w:b/>
                <w:color w:val="000000" w:themeColor="text1"/>
              </w:rPr>
              <w:t>Aguas residuales:</w:t>
            </w:r>
            <w:r w:rsidRPr="00757D02">
              <w:rPr>
                <w:rFonts w:ascii="Arial" w:hAnsi="Arial" w:cs="Arial"/>
                <w:color w:val="000000" w:themeColor="text1"/>
              </w:rPr>
              <w:t xml:space="preserve"> Son las </w:t>
            </w:r>
            <w:r>
              <w:rPr>
                <w:rFonts w:ascii="Arial" w:hAnsi="Arial" w:cs="Arial"/>
                <w:color w:val="000000" w:themeColor="text1"/>
              </w:rPr>
              <w:t xml:space="preserve">aguas </w:t>
            </w:r>
            <w:r w:rsidRPr="00757D02">
              <w:rPr>
                <w:rFonts w:ascii="Arial" w:hAnsi="Arial" w:cs="Arial"/>
                <w:color w:val="000000" w:themeColor="text1"/>
              </w:rPr>
              <w:t>contaminadas por la dispersión de desechos humanos, procedentes de los usos domésticos, comerciales o industriales. Llevan disueltas materias coloidales y sólidas en suspensión. Su tratamiento y depuración constituyen el gran reto ecológico de los últimos años por la contaminación de los ecosistemas. Sinónimo de aguas negras.</w:t>
            </w:r>
          </w:p>
          <w:p w:rsidR="00651288" w:rsidRPr="00D01319" w:rsidRDefault="00651288" w:rsidP="002631D7">
            <w:pPr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D01319">
              <w:rPr>
                <w:rFonts w:ascii="Arial" w:hAnsi="Arial" w:cs="Arial"/>
                <w:b/>
                <w:color w:val="000000" w:themeColor="text1"/>
                <w:szCs w:val="22"/>
              </w:rPr>
              <w:t>Predio.-</w:t>
            </w:r>
            <w:r w:rsidR="00011CF6" w:rsidRPr="00D01319">
              <w:rPr>
                <w:rFonts w:ascii="Arial" w:hAnsi="Arial" w:cs="Arial"/>
                <w:color w:val="000000" w:themeColor="text1"/>
                <w:szCs w:val="22"/>
              </w:rPr>
              <w:t xml:space="preserve"> E</w:t>
            </w:r>
            <w:r w:rsidRPr="00D01319">
              <w:rPr>
                <w:rFonts w:ascii="Arial" w:hAnsi="Arial" w:cs="Arial"/>
                <w:color w:val="000000" w:themeColor="text1"/>
                <w:szCs w:val="22"/>
              </w:rPr>
              <w:t>s el inmueble perteneciente a una persona natural o jurídica, o es una comunidad situado en un mismo municipio y no separado por otro predio público o privado.</w:t>
            </w:r>
          </w:p>
          <w:p w:rsidR="00011CF6" w:rsidRPr="00D01319" w:rsidRDefault="00011CF6" w:rsidP="002631D7">
            <w:pPr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D01319">
              <w:rPr>
                <w:rFonts w:ascii="Arial" w:hAnsi="Arial" w:cs="Arial"/>
                <w:b/>
                <w:color w:val="000000" w:themeColor="text1"/>
                <w:szCs w:val="22"/>
              </w:rPr>
              <w:t>Población servida.-</w:t>
            </w:r>
            <w:r w:rsidRPr="00D01319">
              <w:rPr>
                <w:rFonts w:ascii="Arial" w:hAnsi="Arial" w:cs="Arial"/>
                <w:color w:val="000000" w:themeColor="text1"/>
                <w:szCs w:val="22"/>
              </w:rPr>
              <w:t xml:space="preserve"> Corresponde al número de habitantes que son servidos por un sistema de recolección y evacuación de aguas residuales.</w:t>
            </w:r>
          </w:p>
          <w:p w:rsidR="00EA3EC4" w:rsidRPr="001C77CD" w:rsidRDefault="002945BC" w:rsidP="002945BC">
            <w:pPr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1C77CD">
              <w:rPr>
                <w:rFonts w:ascii="Arial" w:hAnsi="Arial" w:cs="Arial"/>
                <w:b/>
                <w:color w:val="000000" w:themeColor="text1"/>
              </w:rPr>
              <w:t xml:space="preserve">Gobierno Autónomo Descentralizado Municipal (GAD Municipal).- </w:t>
            </w:r>
            <w:r w:rsidRPr="001C77CD">
              <w:rPr>
                <w:rFonts w:ascii="Arial" w:hAnsi="Arial" w:cs="Arial"/>
                <w:color w:val="000000" w:themeColor="text1"/>
              </w:rPr>
              <w:t>Persona jurídica de derecho público, con autonomía política, administrativa y financiera.</w:t>
            </w:r>
          </w:p>
        </w:tc>
      </w:tr>
      <w:tr w:rsidR="00E96785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1C77CD" w:rsidRDefault="00103247" w:rsidP="009112A5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lastRenderedPageBreak/>
              <w:t>METODOLOGÍA DE CÁ</w:t>
            </w:r>
            <w:r w:rsidR="00E96785"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LCULO</w:t>
            </w:r>
          </w:p>
        </w:tc>
      </w:tr>
      <w:tr w:rsidR="00E96785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62B7" w:rsidRPr="001C77CD" w:rsidRDefault="00D6782C" w:rsidP="005536AA">
            <w:pPr>
              <w:spacing w:before="240" w:after="240" w:line="276" w:lineRule="auto"/>
              <w:jc w:val="both"/>
              <w:rPr>
                <w:rFonts w:ascii="Arial" w:eastAsia="Times New Roman" w:hAnsi="Arial" w:cs="Arial"/>
                <w:color w:val="000000" w:themeColor="text1"/>
              </w:rPr>
            </w:pPr>
            <w:r w:rsidRPr="001C77CD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Se calcula como </w:t>
            </w:r>
            <w:r w:rsidR="00846F51" w:rsidRPr="001C77CD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el cociente </w:t>
            </w:r>
            <w:r w:rsidR="005536AA">
              <w:rPr>
                <w:rFonts w:ascii="Arial" w:hAnsi="Arial" w:cs="Arial"/>
                <w:color w:val="000000" w:themeColor="text1"/>
                <w:sz w:val="22"/>
                <w:lang w:val="es-MX"/>
              </w:rPr>
              <w:t>resultante</w:t>
            </w:r>
            <w:r w:rsidR="00E732DE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 </w:t>
            </w:r>
            <w:r w:rsidR="005536AA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de dividir </w:t>
            </w:r>
            <w:r w:rsidR="00E732DE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el </w:t>
            </w:r>
            <w:r w:rsidR="00005226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volumen </w:t>
            </w:r>
            <w:r w:rsidR="00E732DE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total de agua residual tratada </w:t>
            </w:r>
            <w:r w:rsidR="005536AA">
              <w:rPr>
                <w:rFonts w:ascii="Arial" w:hAnsi="Arial" w:cs="Arial"/>
                <w:color w:val="000000" w:themeColor="text1"/>
                <w:sz w:val="22"/>
                <w:lang w:val="es-MX"/>
              </w:rPr>
              <w:t>(</w:t>
            </w:r>
            <w:r w:rsidR="00E03545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suma total </w:t>
            </w:r>
            <w:r w:rsidR="005536AA">
              <w:rPr>
                <w:rFonts w:ascii="Arial" w:hAnsi="Arial" w:cs="Arial"/>
                <w:color w:val="000000" w:themeColor="text1"/>
                <w:sz w:val="22"/>
                <w:lang w:val="es-MX"/>
              </w:rPr>
              <w:t>del volumen</w:t>
            </w:r>
            <w:r w:rsidR="00E732DE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 de agua residual </w:t>
            </w:r>
            <w:r w:rsidR="00E03545">
              <w:rPr>
                <w:rFonts w:ascii="Arial" w:hAnsi="Arial" w:cs="Arial"/>
                <w:color w:val="000000" w:themeColor="text1"/>
                <w:sz w:val="22"/>
                <w:lang w:val="es-MX"/>
              </w:rPr>
              <w:t>descarga</w:t>
            </w:r>
            <w:r w:rsidR="00E732DE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 </w:t>
            </w:r>
            <w:r w:rsidR="00005226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esto multiplicado </w:t>
            </w:r>
            <w:r w:rsidR="00E732DE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por el </w:t>
            </w:r>
            <w:r w:rsidR="000C16B1">
              <w:rPr>
                <w:rFonts w:ascii="Arial" w:hAnsi="Arial" w:cs="Arial"/>
                <w:color w:val="000000" w:themeColor="text1"/>
                <w:sz w:val="22"/>
                <w:lang w:val="es-MX"/>
              </w:rPr>
              <w:t>número de segundos en un mes</w:t>
            </w:r>
            <w:r w:rsidR="005536AA">
              <w:rPr>
                <w:rFonts w:ascii="Arial" w:hAnsi="Arial" w:cs="Arial"/>
                <w:color w:val="000000" w:themeColor="text1"/>
                <w:sz w:val="22"/>
                <w:lang w:val="es-MX"/>
              </w:rPr>
              <w:t>) (numerador)</w:t>
            </w:r>
            <w:r w:rsidR="00E732DE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, </w:t>
            </w:r>
            <w:r w:rsidR="00D01319">
              <w:rPr>
                <w:rFonts w:ascii="Arial" w:hAnsi="Arial" w:cs="Arial"/>
                <w:color w:val="000000" w:themeColor="text1"/>
                <w:sz w:val="22"/>
                <w:lang w:val="es-MX"/>
              </w:rPr>
              <w:t>y el</w:t>
            </w:r>
            <w:r w:rsidR="00E70C9E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 </w:t>
            </w:r>
            <w:r w:rsidR="00E732DE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volumen </w:t>
            </w:r>
            <w:r w:rsidR="00E70C9E">
              <w:rPr>
                <w:rFonts w:ascii="Arial" w:hAnsi="Arial" w:cs="Arial"/>
                <w:color w:val="000000" w:themeColor="text1"/>
                <w:sz w:val="22"/>
                <w:lang w:val="es-MX"/>
              </w:rPr>
              <w:t>de agua</w:t>
            </w:r>
            <w:r w:rsidR="00580494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 </w:t>
            </w:r>
            <w:r w:rsidR="00E03545">
              <w:rPr>
                <w:rFonts w:ascii="Arial" w:hAnsi="Arial" w:cs="Arial"/>
                <w:color w:val="000000" w:themeColor="text1"/>
                <w:sz w:val="22"/>
                <w:lang w:val="es-MX"/>
              </w:rPr>
              <w:t>residual de ingreso</w:t>
            </w:r>
            <w:r w:rsidR="005536AA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 (denominador)</w:t>
            </w:r>
            <w:r w:rsidR="00E70C9E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, </w:t>
            </w:r>
            <w:r w:rsidR="005536AA">
              <w:rPr>
                <w:rFonts w:ascii="Arial" w:hAnsi="Arial" w:cs="Arial"/>
                <w:color w:val="000000" w:themeColor="text1"/>
                <w:sz w:val="22"/>
                <w:lang w:val="es-MX"/>
              </w:rPr>
              <w:t>(</w:t>
            </w:r>
            <w:r w:rsidR="00E03545">
              <w:rPr>
                <w:rFonts w:ascii="Arial" w:hAnsi="Arial" w:cs="Arial"/>
                <w:color w:val="000000" w:themeColor="text1"/>
                <w:sz w:val="22"/>
                <w:lang w:val="es-MX"/>
              </w:rPr>
              <w:t>suma</w:t>
            </w:r>
            <w:r w:rsidR="00005226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 d</w:t>
            </w:r>
            <w:r w:rsidR="00E03545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el </w:t>
            </w:r>
            <w:r w:rsidR="005536AA">
              <w:rPr>
                <w:rFonts w:ascii="Arial" w:hAnsi="Arial" w:cs="Arial"/>
                <w:color w:val="000000" w:themeColor="text1"/>
                <w:sz w:val="22"/>
                <w:lang w:val="es-MX"/>
              </w:rPr>
              <w:t>volumen total</w:t>
            </w:r>
            <w:r w:rsidR="00E03545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 de ingreso</w:t>
            </w:r>
            <w:r w:rsidR="00E70C9E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 de agua residual</w:t>
            </w:r>
            <w:r w:rsidR="000C16B1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 </w:t>
            </w:r>
            <w:r w:rsidR="00580494">
              <w:rPr>
                <w:rFonts w:ascii="Arial" w:hAnsi="Arial" w:cs="Arial"/>
                <w:color w:val="000000" w:themeColor="text1"/>
                <w:sz w:val="22"/>
                <w:lang w:val="es-MX"/>
              </w:rPr>
              <w:t>multiplicado por el número de segundos en un mes</w:t>
            </w:r>
            <w:r w:rsidR="005536AA">
              <w:rPr>
                <w:rFonts w:ascii="Arial" w:hAnsi="Arial" w:cs="Arial"/>
                <w:color w:val="000000" w:themeColor="text1"/>
                <w:sz w:val="22"/>
                <w:lang w:val="es-MX"/>
              </w:rPr>
              <w:t>)</w:t>
            </w:r>
            <w:r w:rsidR="000C16B1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, </w:t>
            </w:r>
            <w:r w:rsidR="005536AA">
              <w:rPr>
                <w:rFonts w:ascii="Arial" w:hAnsi="Arial" w:cs="Arial"/>
                <w:color w:val="000000" w:themeColor="text1"/>
                <w:sz w:val="22"/>
                <w:lang w:val="es-MX"/>
              </w:rPr>
              <w:t>multiplicado</w:t>
            </w:r>
            <w:r w:rsidR="00580494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 por 100 para expresar al </w:t>
            </w:r>
            <w:r w:rsidR="000C16B1">
              <w:rPr>
                <w:rFonts w:ascii="Arial" w:hAnsi="Arial" w:cs="Arial"/>
                <w:color w:val="000000" w:themeColor="text1"/>
                <w:sz w:val="22"/>
                <w:lang w:val="es-MX"/>
              </w:rPr>
              <w:t xml:space="preserve">indicador como </w:t>
            </w:r>
            <w:r w:rsidR="00580494">
              <w:rPr>
                <w:rFonts w:ascii="Arial" w:hAnsi="Arial" w:cs="Arial"/>
                <w:color w:val="000000" w:themeColor="text1"/>
                <w:sz w:val="22"/>
                <w:lang w:val="es-MX"/>
              </w:rPr>
              <w:t>porcentaje</w:t>
            </w:r>
            <w:r w:rsidR="006739AC">
              <w:rPr>
                <w:rFonts w:ascii="Arial" w:hAnsi="Arial" w:cs="Arial"/>
                <w:color w:val="000000" w:themeColor="text1"/>
                <w:sz w:val="22"/>
                <w:lang w:val="es-MX"/>
              </w:rPr>
              <w:t>.</w:t>
            </w:r>
          </w:p>
        </w:tc>
      </w:tr>
      <w:tr w:rsidR="004D5A80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vAlign w:val="center"/>
          </w:tcPr>
          <w:p w:rsidR="004D5A80" w:rsidRPr="001C77CD" w:rsidRDefault="004D5A80" w:rsidP="004D5A80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LIMITACIONES TÉCNICAS</w:t>
            </w:r>
          </w:p>
        </w:tc>
      </w:tr>
      <w:tr w:rsidR="004D5A80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5A80" w:rsidRPr="00580494" w:rsidRDefault="005536AA" w:rsidP="00580494">
            <w:pPr>
              <w:spacing w:before="240" w:after="240" w:line="276" w:lineRule="auto"/>
              <w:jc w:val="both"/>
              <w:rPr>
                <w:rFonts w:ascii="Arial" w:hAnsi="Arial" w:cs="Arial"/>
                <w:color w:val="000000" w:themeColor="text1"/>
                <w:lang w:val="es-EC"/>
              </w:rPr>
            </w:pPr>
            <w:r>
              <w:rPr>
                <w:rFonts w:ascii="Arial" w:hAnsi="Arial" w:cs="Arial"/>
                <w:color w:val="000000" w:themeColor="text1"/>
                <w:lang w:val="es-EC"/>
              </w:rPr>
              <w:t>No aplica.</w:t>
            </w:r>
          </w:p>
        </w:tc>
      </w:tr>
      <w:tr w:rsidR="003E3485" w:rsidTr="004D5A80">
        <w:trPr>
          <w:trHeight w:val="489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1C77CD" w:rsidRDefault="00E96785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 xml:space="preserve">UNIDAD DE MEDIDA </w:t>
            </w:r>
            <w:r w:rsidR="004D5A80"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 xml:space="preserve">O EXPRESIÓN </w:t>
            </w: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6785" w:rsidRPr="001C77CD" w:rsidRDefault="002B3145" w:rsidP="002B3145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</w:rPr>
              <w:t>Porcentaje.</w:t>
            </w:r>
          </w:p>
        </w:tc>
      </w:tr>
      <w:tr w:rsidR="003E3485" w:rsidTr="004D5A80">
        <w:trPr>
          <w:trHeight w:val="1063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1C77CD" w:rsidRDefault="00E96785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INTERPRETACIÓN 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2FF" w:rsidRPr="001C77CD" w:rsidRDefault="00CB02FF" w:rsidP="00E96785">
            <w:pPr>
              <w:jc w:val="both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</w:p>
          <w:p w:rsidR="00943765" w:rsidRPr="001C77CD" w:rsidRDefault="002B3145" w:rsidP="00E70C9E">
            <w:pPr>
              <w:spacing w:after="240"/>
              <w:ind w:right="-59"/>
              <w:jc w:val="both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lang w:val="es-EC"/>
              </w:rPr>
              <w:t xml:space="preserve">Porcentaje de </w:t>
            </w:r>
            <w:r w:rsidR="00CA30F2">
              <w:rPr>
                <w:rFonts w:ascii="Arial" w:eastAsia="Times New Roman" w:hAnsi="Arial" w:cs="Arial"/>
                <w:color w:val="000000" w:themeColor="text1"/>
                <w:sz w:val="22"/>
                <w:lang w:val="es-EC"/>
              </w:rPr>
              <w:t>agua residual tratada, con relación al total de agua producida.</w:t>
            </w:r>
          </w:p>
        </w:tc>
      </w:tr>
      <w:tr w:rsidR="003E3485" w:rsidTr="004D5A80">
        <w:trPr>
          <w:trHeight w:val="528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1C77CD" w:rsidRDefault="00112102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FUENTE DE DATOS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09C" w:rsidRPr="001C77CD" w:rsidRDefault="009B62B1" w:rsidP="009B62B1">
            <w:pPr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1C77CD"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  <w:t>Sistema Nacional de Información Municipal (SNIM).</w:t>
            </w:r>
          </w:p>
          <w:p w:rsidR="009B62B1" w:rsidRPr="001C77CD" w:rsidRDefault="009B62B1" w:rsidP="009B62B1">
            <w:pPr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1C77CD"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  <w:t>Asociación de Municipalidades Ecuatorianas  (AME).</w:t>
            </w:r>
          </w:p>
        </w:tc>
      </w:tr>
      <w:tr w:rsidR="003E3485" w:rsidTr="004D5A80">
        <w:trPr>
          <w:trHeight w:val="590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1C77CD" w:rsidRDefault="00112102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PERIODICIDAD DEL INDICADOR Y/O LAS VARIABLES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1C77CD" w:rsidRDefault="00112102" w:rsidP="00BA7FFC">
            <w:pPr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Anual</w:t>
            </w:r>
          </w:p>
        </w:tc>
      </w:tr>
      <w:tr w:rsidR="003E3485" w:rsidTr="004D5A80">
        <w:trPr>
          <w:trHeight w:val="387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1C77CD" w:rsidRDefault="00112102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DISPONIBILIDAD DE LOS DATOS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1C77CD" w:rsidRDefault="002349D8" w:rsidP="00BC626B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2015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11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1C77CD" w:rsidRDefault="00112102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NIVEL DE DESAGREGACIÓN</w:t>
            </w: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1C77CD" w:rsidRDefault="00112102" w:rsidP="00E95C90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GEOGRÁFICO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5258" w:rsidRDefault="007B603D" w:rsidP="002E5C54">
            <w:pPr>
              <w:pStyle w:val="Prrafodelista"/>
              <w:numPr>
                <w:ilvl w:val="0"/>
                <w:numId w:val="2"/>
              </w:numPr>
              <w:spacing w:before="240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C"/>
              </w:rPr>
              <w:t>Nacional</w:t>
            </w:r>
            <w:r w:rsidR="00B05258" w:rsidRPr="001C77CD">
              <w:rPr>
                <w:rFonts w:ascii="Arial" w:eastAsia="Times New Roman" w:hAnsi="Arial" w:cs="Arial"/>
                <w:color w:val="000000" w:themeColor="text1"/>
                <w:lang w:val="es-EC"/>
              </w:rPr>
              <w:t xml:space="preserve"> </w:t>
            </w:r>
          </w:p>
          <w:p w:rsidR="007B603D" w:rsidRDefault="007B603D" w:rsidP="002E5C54">
            <w:pPr>
              <w:pStyle w:val="Prrafodelista"/>
              <w:numPr>
                <w:ilvl w:val="0"/>
                <w:numId w:val="2"/>
              </w:numPr>
              <w:spacing w:before="240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C"/>
              </w:rPr>
              <w:t>Regional</w:t>
            </w:r>
          </w:p>
          <w:p w:rsidR="00112102" w:rsidRPr="007B603D" w:rsidRDefault="007B603D" w:rsidP="007B603D">
            <w:pPr>
              <w:pStyle w:val="Prrafodelista"/>
              <w:numPr>
                <w:ilvl w:val="0"/>
                <w:numId w:val="2"/>
              </w:numPr>
              <w:spacing w:before="240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C"/>
              </w:rPr>
              <w:t>Provincial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1C77CD" w:rsidRDefault="00112102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1C77CD" w:rsidRDefault="00112102" w:rsidP="00E95C90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GENERAL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1C77CD" w:rsidRDefault="0085220F" w:rsidP="00E95C90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1C77CD" w:rsidRDefault="00112102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1C77CD" w:rsidRDefault="00112102" w:rsidP="00E95C90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OTROS ÁMBITOS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1C77CD" w:rsidRDefault="009B62B1" w:rsidP="006373B8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</w:t>
            </w:r>
          </w:p>
        </w:tc>
      </w:tr>
      <w:tr w:rsidR="003E3485" w:rsidTr="004D5A80">
        <w:trPr>
          <w:trHeight w:val="510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1C77CD" w:rsidRDefault="00112102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INFORMACIÓN GEO – REFERENCIADA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1C77CD" w:rsidRDefault="00112102" w:rsidP="006373B8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</w:t>
            </w:r>
          </w:p>
        </w:tc>
      </w:tr>
      <w:tr w:rsidR="003E3485" w:rsidTr="004D5A80">
        <w:trPr>
          <w:trHeight w:val="244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1C77CD" w:rsidRDefault="00112102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RELACIÓN CON  INSTRUMENTOS DE PLANIFICACIÓN NACIONAL O ACUERDOS, INICIATIVAS  INTERNACIONALES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112102" w:rsidRPr="001C77CD" w:rsidRDefault="00112102" w:rsidP="00E13097">
            <w:pPr>
              <w:autoSpaceDE w:val="0"/>
              <w:autoSpaceDN w:val="0"/>
              <w:adjustRightInd w:val="0"/>
              <w:jc w:val="center"/>
              <w:rPr>
                <w:rFonts w:ascii="Arial" w:eastAsia="UtopiaStd-Regular" w:hAnsi="Arial" w:cs="Arial"/>
                <w:b/>
                <w:color w:val="000000" w:themeColor="text1"/>
                <w:lang w:val="es-EC" w:eastAsia="en-US"/>
              </w:rPr>
            </w:pPr>
          </w:p>
          <w:p w:rsidR="008D5C81" w:rsidRPr="001C77CD" w:rsidRDefault="008D5C81" w:rsidP="008D5C81">
            <w:pPr>
              <w:autoSpaceDE w:val="0"/>
              <w:autoSpaceDN w:val="0"/>
              <w:adjustRightInd w:val="0"/>
              <w:jc w:val="center"/>
              <w:rPr>
                <w:rFonts w:ascii="Arial" w:eastAsia="UtopiaStd-Regular" w:hAnsi="Arial" w:cs="Arial"/>
                <w:b/>
                <w:color w:val="000000" w:themeColor="text1"/>
                <w:lang w:val="es-EC" w:eastAsia="en-US"/>
              </w:rPr>
            </w:pPr>
            <w:r w:rsidRPr="001C77CD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>Plan Nacional del Buen Vivir 2013-2017</w:t>
            </w:r>
          </w:p>
          <w:p w:rsidR="008D5C81" w:rsidRPr="001C77CD" w:rsidRDefault="008D5C81" w:rsidP="008D5C81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</w:p>
          <w:p w:rsidR="008D5C81" w:rsidRPr="001C77CD" w:rsidRDefault="008D5C81" w:rsidP="008D5C8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1C77CD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lastRenderedPageBreak/>
              <w:t>Objetivo 3.-</w:t>
            </w:r>
            <w:r w:rsidRPr="001C77CD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 xml:space="preserve"> Mejorar la calidad de vida de la población.</w:t>
            </w:r>
          </w:p>
          <w:p w:rsidR="008D5C81" w:rsidRPr="001C77CD" w:rsidRDefault="008D5C81" w:rsidP="008D5C8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1C77CD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 xml:space="preserve">Política 3.10. </w:t>
            </w:r>
            <w:r w:rsidRPr="001C77CD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>Garantizar el acceso universal, permanente, sostenible y con calidad a agua segura y a servicios básicos de saneamiento, con pertinencia territorial, ambiental, social y cultural</w:t>
            </w:r>
            <w:r w:rsidRPr="001C77CD">
              <w:rPr>
                <w:rFonts w:ascii="Arial" w:eastAsia="Times New Roman" w:hAnsi="Arial" w:cs="Arial"/>
                <w:color w:val="000000" w:themeColor="text1"/>
                <w:sz w:val="22"/>
                <w:lang w:val="es-EC"/>
              </w:rPr>
              <w:t>.</w:t>
            </w:r>
          </w:p>
          <w:p w:rsidR="008D5C81" w:rsidRPr="001C77CD" w:rsidRDefault="008D5C81" w:rsidP="008D5C8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1C77CD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 a.-</w:t>
            </w:r>
            <w:r w:rsidRPr="001C77CD">
              <w:rPr>
                <w:color w:val="000000" w:themeColor="text1"/>
              </w:rPr>
              <w:t xml:space="preserve"> </w:t>
            </w:r>
            <w:r w:rsidRPr="001C77CD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Generar incentivos que permitan a los distintos niveles de gobierno ampliar la dotación de instalaciones y equipamientos suficientes y eficientes, para la prestación oportuna de servicios de agua y saneamiento, con criterios de sustentabilidad y salubridad</w:t>
            </w:r>
            <w:r w:rsidRPr="001C77CD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>.</w:t>
            </w:r>
          </w:p>
          <w:p w:rsidR="008D5C81" w:rsidRDefault="008D5C81" w:rsidP="008D5C8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1C77CD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 b.-</w:t>
            </w:r>
            <w:r w:rsidRPr="001C77CD">
              <w:rPr>
                <w:color w:val="000000" w:themeColor="text1"/>
              </w:rPr>
              <w:t xml:space="preserve"> </w:t>
            </w:r>
            <w:r w:rsidRPr="001C77CD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Fortalecer la capacidad de regulación, planificación y gestión de los distintos niveles de gobierno para lograr eficiencia y sostenibilidad en los servicios de agua y saneamiento.</w:t>
            </w:r>
          </w:p>
          <w:p w:rsidR="00C80F09" w:rsidRDefault="0083024A" w:rsidP="008D5C8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1C77CD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</w:t>
            </w:r>
            <w:r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 xml:space="preserve"> d.- </w:t>
            </w:r>
            <w:r w:rsidR="00C80F09" w:rsidRPr="00C80F09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Impulsar el mejoramiento de instalaciones de saneami</w:t>
            </w:r>
            <w:r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ento en los hogares que garanti</w:t>
            </w:r>
            <w:r w:rsidR="00C80F09" w:rsidRPr="00C80F09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cen condiciones higiénicas e impidan riesgos en la salud de la población.</w:t>
            </w:r>
          </w:p>
          <w:p w:rsidR="0083024A" w:rsidRDefault="0083024A" w:rsidP="008D5C8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1C77CD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</w:t>
            </w:r>
            <w:r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 xml:space="preserve"> e.- </w:t>
            </w:r>
            <w:r w:rsidRPr="0083024A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Desarrollar e implementar mecanismos de difusión sobre los beneficios del uso de instalaciones de saneamiento mejoradas, no compartidas, ni públicas.</w:t>
            </w:r>
          </w:p>
          <w:p w:rsidR="0083024A" w:rsidRPr="00C80F09" w:rsidRDefault="0083024A" w:rsidP="008D5C8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1C77CD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</w:t>
            </w:r>
            <w:r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 xml:space="preserve"> g.- </w:t>
            </w:r>
            <w:r w:rsidRPr="0083024A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Generar un m arco normativo y fortalecer las capacidades de regulación y evaluación independiente de los servicios de agua y saneamiento a nivel territorial.</w:t>
            </w:r>
          </w:p>
          <w:p w:rsidR="008D5C81" w:rsidRPr="001C77CD" w:rsidRDefault="008D5C81" w:rsidP="008D5C8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1C77CD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 i.- Apoyar el fortalecimiento progresivo de las capacidades de los gobiernos autónomos descentralizados para la prestación de servicios básicos, de acuerdo con sus competencias.</w:t>
            </w:r>
          </w:p>
          <w:p w:rsidR="008D5C81" w:rsidRPr="001C77CD" w:rsidRDefault="008D5C81" w:rsidP="008D5C81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</w:p>
          <w:p w:rsidR="008D5C81" w:rsidRPr="001C77CD" w:rsidRDefault="008D5C81" w:rsidP="008D5C81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1C77CD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>Objetivo 10.-</w:t>
            </w:r>
            <w:r w:rsidRPr="001C77CD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 xml:space="preserve"> Impulsar la transformación de la matriz productiva </w:t>
            </w:r>
          </w:p>
          <w:p w:rsidR="008D5C81" w:rsidRPr="001C77CD" w:rsidRDefault="008D5C81" w:rsidP="008D5C81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1C77CD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 xml:space="preserve">Política 10.9.- </w:t>
            </w:r>
            <w:r w:rsidRPr="001C77CD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>Impulsar las condiciones de competitividad y productividad sistémica necesarias para viabilizar la transformación de la matriz productiva y la consolidación de estructuras más equitativas de generación y distribución de la riqueza.</w:t>
            </w:r>
          </w:p>
          <w:p w:rsidR="00350BBE" w:rsidRDefault="008D5C81" w:rsidP="008D5C81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1C77CD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lastRenderedPageBreak/>
              <w:t>Literal a.- Ampliar y mejorar la provisión, acceso calidad y eficiencia de los servicios públicos de agua potable, riego y drenaje, saneamiento energía eléctrica, telecomunicaciones, gas natural y el servicio postal.</w:t>
            </w:r>
          </w:p>
          <w:p w:rsidR="00544F7F" w:rsidRPr="00AE2F58" w:rsidRDefault="00544F7F" w:rsidP="00544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AE2F5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Objetivos de Desarrollo Sostenible</w:t>
            </w:r>
          </w:p>
          <w:p w:rsidR="00544F7F" w:rsidRPr="00AE2F58" w:rsidRDefault="00544F7F" w:rsidP="00544F7F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bCs/>
                <w:shd w:val="clear" w:color="auto" w:fill="FFFFFF"/>
              </w:rPr>
            </w:pPr>
            <w:r w:rsidRPr="00AE2F58">
              <w:rPr>
                <w:rFonts w:ascii="Arial" w:hAnsi="Arial" w:cs="Arial"/>
                <w:color w:val="000000"/>
                <w:sz w:val="22"/>
                <w:szCs w:val="22"/>
              </w:rPr>
              <w:t xml:space="preserve">Objetivo 6.- Agua Limpia y Saneamiento: </w:t>
            </w:r>
            <w:r w:rsidRPr="00AE2F58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Garantizar la disponibilidad de</w:t>
            </w:r>
            <w:r w:rsidRPr="00AE2F58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5020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agua</w:t>
            </w:r>
            <w:r w:rsidRPr="00AE2F58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AE2F58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y su gestión sostenible y el saneamiento para todos.</w:t>
            </w:r>
          </w:p>
          <w:p w:rsidR="00544F7F" w:rsidRPr="00AE2F58" w:rsidRDefault="00544F7F" w:rsidP="00544F7F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AE2F58">
              <w:rPr>
                <w:rFonts w:ascii="Arial" w:eastAsia="Times New Roman" w:hAnsi="Arial" w:cs="Arial"/>
                <w:lang w:eastAsia="es-EC"/>
              </w:rPr>
              <w:t xml:space="preserve">Para 2030, lograr el acceso universal y equitativo al agua </w:t>
            </w:r>
            <w:bookmarkStart w:id="0" w:name="_GoBack"/>
            <w:r w:rsidRPr="00AE2F58">
              <w:rPr>
                <w:rFonts w:ascii="Arial" w:eastAsia="Times New Roman" w:hAnsi="Arial" w:cs="Arial"/>
                <w:lang w:eastAsia="es-EC"/>
              </w:rPr>
              <w:t>potable</w:t>
            </w:r>
            <w:bookmarkEnd w:id="0"/>
            <w:r w:rsidRPr="00AE2F58">
              <w:rPr>
                <w:rFonts w:ascii="Arial" w:eastAsia="Times New Roman" w:hAnsi="Arial" w:cs="Arial"/>
                <w:lang w:eastAsia="es-EC"/>
              </w:rPr>
              <w:t>, a un precio asequible para todos</w:t>
            </w:r>
          </w:p>
          <w:p w:rsidR="00544F7F" w:rsidRPr="00E22E18" w:rsidRDefault="00544F7F" w:rsidP="00544F7F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Arial" w:eastAsia="UtopiaStd-Regular" w:hAnsi="Arial" w:cs="Arial"/>
                <w:lang w:val="es-EC" w:eastAsia="en-US"/>
              </w:rPr>
            </w:pPr>
            <w:r w:rsidRPr="00E22E18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Apoyar y fortalecer la participación de las comunidades locales en la mejora de la gestión del agua y el saneamiento</w:t>
            </w:r>
          </w:p>
          <w:p w:rsidR="00544F7F" w:rsidRPr="00782FD2" w:rsidRDefault="00544F7F" w:rsidP="00544F7F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eastAsiaTheme="minorHAnsi" w:hAnsi="Arial" w:cs="Arial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Código  Orgánico  de Organización</w:t>
            </w:r>
            <w:r w:rsidRPr="00782FD2"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  <w:t xml:space="preserve"> </w:t>
            </w:r>
            <w:r w:rsidRPr="00782FD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Territorial, Autonomía  y  Descentralización 2012</w:t>
            </w:r>
          </w:p>
          <w:p w:rsidR="00544F7F" w:rsidRPr="001C77CD" w:rsidRDefault="00544F7F" w:rsidP="00544F7F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Sección Primera. Gestión Directa Artículos No. 276 a 293</w:t>
            </w:r>
          </w:p>
        </w:tc>
      </w:tr>
      <w:tr w:rsidR="003E3485" w:rsidTr="001847B5">
        <w:trPr>
          <w:trHeight w:val="533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1C77CD" w:rsidRDefault="00112102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7C4A" w:rsidRPr="00544F7F" w:rsidRDefault="00097C4A" w:rsidP="00544F7F">
            <w:pPr>
              <w:spacing w:before="240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544F7F">
              <w:rPr>
                <w:rFonts w:ascii="Arial" w:hAnsi="Arial" w:cs="Arial"/>
                <w:b/>
                <w:color w:val="000000" w:themeColor="text1"/>
              </w:rPr>
              <w:t>Manual de Agua Potable, Alcantarillado y Saneamiento</w:t>
            </w:r>
            <w:r w:rsidR="00E70C9E" w:rsidRPr="00544F7F">
              <w:rPr>
                <w:rFonts w:ascii="Arial" w:hAnsi="Arial" w:cs="Arial"/>
                <w:b/>
                <w:color w:val="000000" w:themeColor="text1"/>
              </w:rPr>
              <w:t>:</w:t>
            </w:r>
            <w:r w:rsidRPr="00544F7F">
              <w:rPr>
                <w:rFonts w:ascii="Arial" w:hAnsi="Arial" w:cs="Arial"/>
                <w:b/>
                <w:color w:val="000000" w:themeColor="text1"/>
              </w:rPr>
              <w:t xml:space="preserve"> Alcantarillado Sanitario</w:t>
            </w:r>
            <w:r w:rsidR="00E70C9E" w:rsidRPr="00544F7F">
              <w:rPr>
                <w:rFonts w:ascii="Arial" w:hAnsi="Arial" w:cs="Arial"/>
                <w:b/>
                <w:color w:val="000000" w:themeColor="text1"/>
              </w:rPr>
              <w:t xml:space="preserve"> (SEMARNAT Comisión Nacional del Agua 2009) </w:t>
            </w:r>
          </w:p>
          <w:p w:rsidR="00544F7F" w:rsidRPr="00502017" w:rsidRDefault="00544F7F" w:rsidP="00544F7F">
            <w:pPr>
              <w:spacing w:before="240" w:after="240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502017">
              <w:rPr>
                <w:rFonts w:ascii="Arial" w:hAnsi="Arial" w:cs="Arial"/>
                <w:b/>
                <w:color w:val="000000" w:themeColor="text1"/>
              </w:rPr>
              <w:t>Manual de Agua Potable, Alcantarillado y Saneamiento Alcantarillado Sanitario</w:t>
            </w:r>
          </w:p>
          <w:p w:rsidR="00544F7F" w:rsidRPr="008A40FF" w:rsidRDefault="00544F7F" w:rsidP="00544F7F">
            <w:pPr>
              <w:jc w:val="both"/>
              <w:rPr>
                <w:rFonts w:ascii="Arial" w:hAnsi="Arial" w:cs="Arial"/>
                <w:b/>
                <w:bCs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Código  Orgánico  de Organización  Territorial, Autonomía  y  Descentralización 2012 </w:t>
            </w:r>
          </w:p>
          <w:p w:rsidR="00544F7F" w:rsidRPr="008A40FF" w:rsidRDefault="00544F7F" w:rsidP="00544F7F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Sección Primera. </w:t>
            </w:r>
          </w:p>
          <w:p w:rsidR="00544F7F" w:rsidRPr="008A40FF" w:rsidRDefault="00544F7F" w:rsidP="00544F7F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Gestión Directa </w:t>
            </w:r>
          </w:p>
          <w:p w:rsidR="00544F7F" w:rsidRPr="008A40FF" w:rsidRDefault="00544F7F" w:rsidP="00544F7F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Artículos No. 276 a 293  </w:t>
            </w:r>
          </w:p>
          <w:p w:rsidR="00544F7F" w:rsidRPr="008A40FF" w:rsidRDefault="00544F7F" w:rsidP="00544F7F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544F7F" w:rsidRPr="008A40FF" w:rsidRDefault="00544F7F" w:rsidP="00544F7F">
            <w:pPr>
              <w:spacing w:after="24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Plan Nacional del Buen Vivir 2013-2017 </w:t>
            </w: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 </w:t>
            </w:r>
          </w:p>
          <w:p w:rsidR="00BD761E" w:rsidRPr="00544F7F" w:rsidRDefault="00544F7F" w:rsidP="00544F7F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544F7F">
              <w:rPr>
                <w:rFonts w:ascii="Arial" w:hAnsi="Arial" w:cs="Arial"/>
                <w:b/>
                <w:color w:val="000000"/>
                <w:lang w:val="es-EC"/>
              </w:rPr>
              <w:t>Objetivos de Desarrollo Sostenible, Agenda 2030.</w:t>
            </w:r>
          </w:p>
        </w:tc>
      </w:tr>
      <w:tr w:rsidR="003E3485" w:rsidTr="004D5A80">
        <w:trPr>
          <w:trHeight w:val="799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1C77CD" w:rsidRDefault="00112102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FECHA DE ELABORACIÓN DE LA FICHA METODOLÓGICA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1C77CD" w:rsidRDefault="00DA1E3B" w:rsidP="00A92AA7">
            <w:pPr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27</w:t>
            </w:r>
            <w:r w:rsidR="00156638"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</w:t>
            </w:r>
            <w:r w:rsidR="00FE4AF6"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09</w:t>
            </w:r>
            <w:r w:rsidR="00112102"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/201</w:t>
            </w:r>
            <w:r w:rsidR="00A92AA7"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6</w:t>
            </w:r>
          </w:p>
        </w:tc>
      </w:tr>
      <w:tr w:rsidR="003E3485" w:rsidTr="004D5A80">
        <w:trPr>
          <w:trHeight w:val="781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1C77CD" w:rsidRDefault="00112102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FECHA DE LA ÚLTIMA ACTUALIZACIÓN DE LA FICHA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1C77CD" w:rsidRDefault="00DA1E3B" w:rsidP="00FE4AF6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27</w:t>
            </w:r>
            <w:r w:rsidR="00C653EF"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</w:t>
            </w:r>
            <w:r w:rsidR="00FE4AF6"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09</w:t>
            </w:r>
            <w:r w:rsidR="00112102"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/201</w:t>
            </w:r>
            <w:r w:rsidR="00C653EF"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6</w:t>
            </w:r>
          </w:p>
        </w:tc>
      </w:tr>
      <w:tr w:rsidR="00FA1B15" w:rsidTr="004D5A80">
        <w:trPr>
          <w:trHeight w:val="617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1C77CD" w:rsidRDefault="00112102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lastRenderedPageBreak/>
              <w:t>CLASIFICADOR SECTORIAL</w:t>
            </w: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1C77CD" w:rsidRDefault="00E26E8C" w:rsidP="00F47515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1C77CD">
              <w:rPr>
                <w:rFonts w:ascii="Arial" w:hAnsi="Arial" w:cs="Arial"/>
                <w:color w:val="000000" w:themeColor="text1"/>
                <w:sz w:val="22"/>
                <w:szCs w:val="22"/>
              </w:rPr>
              <w:t>Ambiente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1C77CD" w:rsidRDefault="00112102" w:rsidP="00E26E8C">
            <w:pPr>
              <w:jc w:val="center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</w:t>
            </w:r>
            <w:r w:rsidR="00E26E8C"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2</w:t>
            </w:r>
          </w:p>
        </w:tc>
      </w:tr>
      <w:tr w:rsidR="003E3485" w:rsidTr="004D5A80">
        <w:trPr>
          <w:trHeight w:val="414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1C77CD" w:rsidRDefault="00112102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ELABORADO POR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1C77CD" w:rsidRDefault="00A33B1E" w:rsidP="009112A5">
            <w:pPr>
              <w:jc w:val="both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Dirección de Estadísticas Agropecuarias y Ambientales - Instituto Nacional de Estadística y Censos (INEC).</w:t>
            </w:r>
          </w:p>
        </w:tc>
      </w:tr>
    </w:tbl>
    <w:p w:rsidR="005D5A90" w:rsidRDefault="00BC5E21" w:rsidP="00316342"/>
    <w:p w:rsidR="00CE5E29" w:rsidRDefault="00CE5E29" w:rsidP="00316342"/>
    <w:tbl>
      <w:tblPr>
        <w:tblW w:w="9600" w:type="dxa"/>
        <w:jc w:val="center"/>
        <w:tblCellSpacing w:w="22" w:type="dxa"/>
        <w:tblInd w:w="504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5089"/>
      </w:tblGrid>
      <w:tr w:rsidR="00415F37" w:rsidRPr="00B1328E" w:rsidTr="00D05C6E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threeDEmboss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7B695A" w:rsidRDefault="00415F37" w:rsidP="00D05C6E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ANEXOS</w:t>
            </w:r>
          </w:p>
        </w:tc>
      </w:tr>
      <w:tr w:rsidR="00415F37" w:rsidRPr="00B1328E" w:rsidTr="00D05C6E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7B695A" w:rsidRDefault="00415F37" w:rsidP="00D05C6E">
            <w:pPr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 1: Algoritmo de cálculo del Indicador</w:t>
            </w:r>
          </w:p>
        </w:tc>
      </w:tr>
      <w:tr w:rsidR="00415F37" w:rsidRPr="00B1328E" w:rsidTr="00D05C6E">
        <w:trPr>
          <w:trHeight w:val="321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415F37" w:rsidP="00D05C6E">
            <w:pPr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 xml:space="preserve">SINTAXIS </w:t>
            </w:r>
          </w:p>
        </w:tc>
      </w:tr>
      <w:tr w:rsidR="00415F37" w:rsidRPr="00C653EF" w:rsidTr="00D05C6E">
        <w:trPr>
          <w:trHeight w:val="492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F37" w:rsidRPr="00C653EF" w:rsidRDefault="00415F37" w:rsidP="00781D0A">
            <w:pPr>
              <w:widowControl w:val="0"/>
              <w:autoSpaceDE w:val="0"/>
              <w:autoSpaceDN w:val="0"/>
              <w:adjustRightInd w:val="0"/>
              <w:spacing w:line="198" w:lineRule="exact"/>
              <w:ind w:left="617"/>
              <w:rPr>
                <w:rFonts w:ascii="Courier New" w:hAnsi="Courier New" w:cs="Courier New"/>
                <w:color w:val="000000"/>
                <w:position w:val="1"/>
                <w:sz w:val="18"/>
                <w:szCs w:val="18"/>
              </w:rPr>
            </w:pPr>
          </w:p>
        </w:tc>
      </w:tr>
      <w:tr w:rsidR="00415F37" w:rsidRPr="00B1328E" w:rsidTr="00D05C6E">
        <w:trPr>
          <w:trHeight w:val="456"/>
          <w:tblCellSpacing w:w="22" w:type="dxa"/>
          <w:jc w:val="center"/>
        </w:trPr>
        <w:tc>
          <w:tcPr>
            <w:tcW w:w="4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415F37" w:rsidP="00D05C6E">
            <w:pPr>
              <w:jc w:val="both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AÑO DE REFERENCIA DE LA SINTAXIS</w:t>
            </w:r>
          </w:p>
        </w:tc>
        <w:tc>
          <w:tcPr>
            <w:tcW w:w="5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2B65D7" w:rsidP="00D05C6E">
            <w:pPr>
              <w:jc w:val="both"/>
              <w:rPr>
                <w:rFonts w:ascii="Arial" w:eastAsiaTheme="minorHAnsi" w:hAnsi="Arial" w:cs="Arial"/>
                <w:lang w:val="es-EC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es-EC"/>
              </w:rPr>
              <w:t>2015</w:t>
            </w:r>
          </w:p>
        </w:tc>
      </w:tr>
    </w:tbl>
    <w:p w:rsidR="00415F37" w:rsidRDefault="00415F37" w:rsidP="00316342"/>
    <w:sectPr w:rsidR="00415F37" w:rsidSect="00DC6C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E21" w:rsidRDefault="00BC5E21" w:rsidP="00824626">
      <w:r>
        <w:separator/>
      </w:r>
    </w:p>
  </w:endnote>
  <w:endnote w:type="continuationSeparator" w:id="0">
    <w:p w:rsidR="00BC5E21" w:rsidRDefault="00BC5E21" w:rsidP="0082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GNFCH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UtopiaStd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E21" w:rsidRDefault="00BC5E21" w:rsidP="00824626">
      <w:r>
        <w:separator/>
      </w:r>
    </w:p>
  </w:footnote>
  <w:footnote w:type="continuationSeparator" w:id="0">
    <w:p w:rsidR="00BC5E21" w:rsidRDefault="00BC5E21" w:rsidP="00824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7920"/>
    <w:multiLevelType w:val="hybridMultilevel"/>
    <w:tmpl w:val="159EA672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27A38"/>
    <w:multiLevelType w:val="hybridMultilevel"/>
    <w:tmpl w:val="34A4F66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E4049"/>
    <w:multiLevelType w:val="hybridMultilevel"/>
    <w:tmpl w:val="0770C3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D4C05"/>
    <w:multiLevelType w:val="hybridMultilevel"/>
    <w:tmpl w:val="294E1A14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1546BC"/>
    <w:multiLevelType w:val="hybridMultilevel"/>
    <w:tmpl w:val="DBBC3D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B15"/>
    <w:rsid w:val="00000622"/>
    <w:rsid w:val="00005226"/>
    <w:rsid w:val="000053D4"/>
    <w:rsid w:val="00011CF6"/>
    <w:rsid w:val="00027267"/>
    <w:rsid w:val="00053307"/>
    <w:rsid w:val="00056DAF"/>
    <w:rsid w:val="00063680"/>
    <w:rsid w:val="00064F3C"/>
    <w:rsid w:val="00073D37"/>
    <w:rsid w:val="00085ABA"/>
    <w:rsid w:val="00091A22"/>
    <w:rsid w:val="00097C4A"/>
    <w:rsid w:val="000A2799"/>
    <w:rsid w:val="000C16B1"/>
    <w:rsid w:val="000C511E"/>
    <w:rsid w:val="000D072C"/>
    <w:rsid w:val="000D68B0"/>
    <w:rsid w:val="000D7B6D"/>
    <w:rsid w:val="000E4D51"/>
    <w:rsid w:val="000F2676"/>
    <w:rsid w:val="000F36A3"/>
    <w:rsid w:val="000F79EC"/>
    <w:rsid w:val="00103247"/>
    <w:rsid w:val="00112102"/>
    <w:rsid w:val="00114842"/>
    <w:rsid w:val="00114EDE"/>
    <w:rsid w:val="00117582"/>
    <w:rsid w:val="00117656"/>
    <w:rsid w:val="00123FE4"/>
    <w:rsid w:val="00133D6D"/>
    <w:rsid w:val="0014528E"/>
    <w:rsid w:val="00147383"/>
    <w:rsid w:val="001552C6"/>
    <w:rsid w:val="00156638"/>
    <w:rsid w:val="00174835"/>
    <w:rsid w:val="00181BB4"/>
    <w:rsid w:val="001847B5"/>
    <w:rsid w:val="001851B3"/>
    <w:rsid w:val="0019417D"/>
    <w:rsid w:val="00194D4C"/>
    <w:rsid w:val="00196BE8"/>
    <w:rsid w:val="001A4B9B"/>
    <w:rsid w:val="001A5D42"/>
    <w:rsid w:val="001B0689"/>
    <w:rsid w:val="001B426C"/>
    <w:rsid w:val="001C77CD"/>
    <w:rsid w:val="001D6689"/>
    <w:rsid w:val="001F3953"/>
    <w:rsid w:val="001F434F"/>
    <w:rsid w:val="001F7BA8"/>
    <w:rsid w:val="00217F24"/>
    <w:rsid w:val="0022240C"/>
    <w:rsid w:val="00223F39"/>
    <w:rsid w:val="0023260A"/>
    <w:rsid w:val="002349D8"/>
    <w:rsid w:val="00242A13"/>
    <w:rsid w:val="00242F64"/>
    <w:rsid w:val="002445B6"/>
    <w:rsid w:val="00245815"/>
    <w:rsid w:val="00252015"/>
    <w:rsid w:val="00252069"/>
    <w:rsid w:val="002631D7"/>
    <w:rsid w:val="00263A69"/>
    <w:rsid w:val="002945BC"/>
    <w:rsid w:val="00295717"/>
    <w:rsid w:val="00297447"/>
    <w:rsid w:val="002A2B3A"/>
    <w:rsid w:val="002B3145"/>
    <w:rsid w:val="002B65D7"/>
    <w:rsid w:val="002C1EB8"/>
    <w:rsid w:val="002E5C54"/>
    <w:rsid w:val="002F036A"/>
    <w:rsid w:val="002F3C7C"/>
    <w:rsid w:val="00313B1F"/>
    <w:rsid w:val="00316342"/>
    <w:rsid w:val="00321705"/>
    <w:rsid w:val="00324A1F"/>
    <w:rsid w:val="00330195"/>
    <w:rsid w:val="003372C1"/>
    <w:rsid w:val="003379D8"/>
    <w:rsid w:val="00350BBE"/>
    <w:rsid w:val="003557EE"/>
    <w:rsid w:val="00372160"/>
    <w:rsid w:val="0037709E"/>
    <w:rsid w:val="00384A5A"/>
    <w:rsid w:val="00386DC6"/>
    <w:rsid w:val="0038707C"/>
    <w:rsid w:val="00387A01"/>
    <w:rsid w:val="00387FE0"/>
    <w:rsid w:val="00397045"/>
    <w:rsid w:val="003B66D5"/>
    <w:rsid w:val="003C3E4C"/>
    <w:rsid w:val="003D1FD8"/>
    <w:rsid w:val="003D6328"/>
    <w:rsid w:val="003E3485"/>
    <w:rsid w:val="003E517F"/>
    <w:rsid w:val="003F2C3C"/>
    <w:rsid w:val="004138EF"/>
    <w:rsid w:val="00415F37"/>
    <w:rsid w:val="00420B4C"/>
    <w:rsid w:val="0042721E"/>
    <w:rsid w:val="00434F3D"/>
    <w:rsid w:val="00436FB2"/>
    <w:rsid w:val="00440D86"/>
    <w:rsid w:val="00441972"/>
    <w:rsid w:val="00451A0F"/>
    <w:rsid w:val="0045570F"/>
    <w:rsid w:val="004646AC"/>
    <w:rsid w:val="00465530"/>
    <w:rsid w:val="00475782"/>
    <w:rsid w:val="004B6AEB"/>
    <w:rsid w:val="004B7BDD"/>
    <w:rsid w:val="004B7ED8"/>
    <w:rsid w:val="004C193B"/>
    <w:rsid w:val="004D31A9"/>
    <w:rsid w:val="004D5A80"/>
    <w:rsid w:val="004D69C3"/>
    <w:rsid w:val="004F0347"/>
    <w:rsid w:val="004F4F09"/>
    <w:rsid w:val="00501012"/>
    <w:rsid w:val="005043FA"/>
    <w:rsid w:val="00510518"/>
    <w:rsid w:val="00515CBB"/>
    <w:rsid w:val="00521064"/>
    <w:rsid w:val="00521E05"/>
    <w:rsid w:val="00523F21"/>
    <w:rsid w:val="00525317"/>
    <w:rsid w:val="005375EE"/>
    <w:rsid w:val="00544F7F"/>
    <w:rsid w:val="0054695E"/>
    <w:rsid w:val="0054728D"/>
    <w:rsid w:val="005536AA"/>
    <w:rsid w:val="005553E3"/>
    <w:rsid w:val="00561C0D"/>
    <w:rsid w:val="00570E2A"/>
    <w:rsid w:val="00580494"/>
    <w:rsid w:val="00583C5C"/>
    <w:rsid w:val="00584FEC"/>
    <w:rsid w:val="0059356C"/>
    <w:rsid w:val="005A4565"/>
    <w:rsid w:val="005B097A"/>
    <w:rsid w:val="005B1237"/>
    <w:rsid w:val="005D139A"/>
    <w:rsid w:val="005D541C"/>
    <w:rsid w:val="005D5F57"/>
    <w:rsid w:val="005E0D2E"/>
    <w:rsid w:val="005E178B"/>
    <w:rsid w:val="005E2103"/>
    <w:rsid w:val="005F78AA"/>
    <w:rsid w:val="00603389"/>
    <w:rsid w:val="006162B7"/>
    <w:rsid w:val="00621E9C"/>
    <w:rsid w:val="00631F69"/>
    <w:rsid w:val="00633FEB"/>
    <w:rsid w:val="00651288"/>
    <w:rsid w:val="006514C6"/>
    <w:rsid w:val="006521D0"/>
    <w:rsid w:val="006676C7"/>
    <w:rsid w:val="0067243B"/>
    <w:rsid w:val="006739AC"/>
    <w:rsid w:val="00676737"/>
    <w:rsid w:val="00690E3C"/>
    <w:rsid w:val="00695BA8"/>
    <w:rsid w:val="006A1A0B"/>
    <w:rsid w:val="006A59F5"/>
    <w:rsid w:val="006B00C3"/>
    <w:rsid w:val="006C5B68"/>
    <w:rsid w:val="006D5004"/>
    <w:rsid w:val="006D6677"/>
    <w:rsid w:val="006F07AC"/>
    <w:rsid w:val="006F1BD2"/>
    <w:rsid w:val="006F70AC"/>
    <w:rsid w:val="0070448D"/>
    <w:rsid w:val="0070609C"/>
    <w:rsid w:val="00717A28"/>
    <w:rsid w:val="007323CC"/>
    <w:rsid w:val="00733534"/>
    <w:rsid w:val="007400BC"/>
    <w:rsid w:val="00752EB8"/>
    <w:rsid w:val="00757734"/>
    <w:rsid w:val="00757D02"/>
    <w:rsid w:val="00763C15"/>
    <w:rsid w:val="00764EC3"/>
    <w:rsid w:val="007675FF"/>
    <w:rsid w:val="007768CD"/>
    <w:rsid w:val="00780CD0"/>
    <w:rsid w:val="00781D0A"/>
    <w:rsid w:val="00787504"/>
    <w:rsid w:val="007A55B1"/>
    <w:rsid w:val="007B4DAF"/>
    <w:rsid w:val="007B603D"/>
    <w:rsid w:val="007B695A"/>
    <w:rsid w:val="007C3D5E"/>
    <w:rsid w:val="007C6C79"/>
    <w:rsid w:val="007C7F63"/>
    <w:rsid w:val="007D08CA"/>
    <w:rsid w:val="007D1B70"/>
    <w:rsid w:val="007D4DAD"/>
    <w:rsid w:val="007E650F"/>
    <w:rsid w:val="007F2A87"/>
    <w:rsid w:val="00810FAE"/>
    <w:rsid w:val="0081464E"/>
    <w:rsid w:val="008227C7"/>
    <w:rsid w:val="00824626"/>
    <w:rsid w:val="0083024A"/>
    <w:rsid w:val="00832F33"/>
    <w:rsid w:val="008353CD"/>
    <w:rsid w:val="00846F51"/>
    <w:rsid w:val="0085220F"/>
    <w:rsid w:val="0086033A"/>
    <w:rsid w:val="00867224"/>
    <w:rsid w:val="00893FE5"/>
    <w:rsid w:val="0089715E"/>
    <w:rsid w:val="008B05A0"/>
    <w:rsid w:val="008B4CDD"/>
    <w:rsid w:val="008C4D85"/>
    <w:rsid w:val="008D02DC"/>
    <w:rsid w:val="008D400F"/>
    <w:rsid w:val="008D4586"/>
    <w:rsid w:val="008D5C81"/>
    <w:rsid w:val="008D69F6"/>
    <w:rsid w:val="008D7C83"/>
    <w:rsid w:val="008E233A"/>
    <w:rsid w:val="008E4E35"/>
    <w:rsid w:val="008E57E3"/>
    <w:rsid w:val="008F2EC3"/>
    <w:rsid w:val="009038CF"/>
    <w:rsid w:val="00913EFF"/>
    <w:rsid w:val="00916E28"/>
    <w:rsid w:val="00917079"/>
    <w:rsid w:val="0092264E"/>
    <w:rsid w:val="00927A1E"/>
    <w:rsid w:val="00932C96"/>
    <w:rsid w:val="009332F8"/>
    <w:rsid w:val="0093465D"/>
    <w:rsid w:val="00942CF7"/>
    <w:rsid w:val="00943765"/>
    <w:rsid w:val="009474CF"/>
    <w:rsid w:val="00950DE8"/>
    <w:rsid w:val="0096696A"/>
    <w:rsid w:val="00967FE0"/>
    <w:rsid w:val="00984EEE"/>
    <w:rsid w:val="0098705E"/>
    <w:rsid w:val="009A2144"/>
    <w:rsid w:val="009A3991"/>
    <w:rsid w:val="009A6362"/>
    <w:rsid w:val="009A6BF0"/>
    <w:rsid w:val="009B34F7"/>
    <w:rsid w:val="009B599F"/>
    <w:rsid w:val="009B62B1"/>
    <w:rsid w:val="009C1156"/>
    <w:rsid w:val="009C34B7"/>
    <w:rsid w:val="009D07C6"/>
    <w:rsid w:val="009D2951"/>
    <w:rsid w:val="009E4729"/>
    <w:rsid w:val="009F5A3A"/>
    <w:rsid w:val="00A060BC"/>
    <w:rsid w:val="00A11416"/>
    <w:rsid w:val="00A259A4"/>
    <w:rsid w:val="00A259AA"/>
    <w:rsid w:val="00A33B1E"/>
    <w:rsid w:val="00A469D3"/>
    <w:rsid w:val="00A515C8"/>
    <w:rsid w:val="00A51933"/>
    <w:rsid w:val="00A56C2A"/>
    <w:rsid w:val="00A579DD"/>
    <w:rsid w:val="00A73A10"/>
    <w:rsid w:val="00A855BD"/>
    <w:rsid w:val="00A87F38"/>
    <w:rsid w:val="00A92AA7"/>
    <w:rsid w:val="00AA0C82"/>
    <w:rsid w:val="00AA2668"/>
    <w:rsid w:val="00AB459E"/>
    <w:rsid w:val="00AB5F8D"/>
    <w:rsid w:val="00AC6EDF"/>
    <w:rsid w:val="00AD237D"/>
    <w:rsid w:val="00AD6BBA"/>
    <w:rsid w:val="00AD7749"/>
    <w:rsid w:val="00AE6364"/>
    <w:rsid w:val="00AF27F7"/>
    <w:rsid w:val="00B01AE0"/>
    <w:rsid w:val="00B05258"/>
    <w:rsid w:val="00B05EAF"/>
    <w:rsid w:val="00B151CA"/>
    <w:rsid w:val="00B16F27"/>
    <w:rsid w:val="00B206C3"/>
    <w:rsid w:val="00B30E7D"/>
    <w:rsid w:val="00B44F00"/>
    <w:rsid w:val="00B54BB2"/>
    <w:rsid w:val="00B72D48"/>
    <w:rsid w:val="00B846AA"/>
    <w:rsid w:val="00B85835"/>
    <w:rsid w:val="00B960F8"/>
    <w:rsid w:val="00B9652B"/>
    <w:rsid w:val="00BA53FE"/>
    <w:rsid w:val="00BA7FFC"/>
    <w:rsid w:val="00BC11A0"/>
    <w:rsid w:val="00BC5E21"/>
    <w:rsid w:val="00BC603C"/>
    <w:rsid w:val="00BC626B"/>
    <w:rsid w:val="00BD761E"/>
    <w:rsid w:val="00BE3BB5"/>
    <w:rsid w:val="00C073BE"/>
    <w:rsid w:val="00C11FBF"/>
    <w:rsid w:val="00C306E6"/>
    <w:rsid w:val="00C44D05"/>
    <w:rsid w:val="00C45288"/>
    <w:rsid w:val="00C47E05"/>
    <w:rsid w:val="00C653EF"/>
    <w:rsid w:val="00C80F09"/>
    <w:rsid w:val="00C8321D"/>
    <w:rsid w:val="00C95DAD"/>
    <w:rsid w:val="00CA30F2"/>
    <w:rsid w:val="00CB02FF"/>
    <w:rsid w:val="00CB1815"/>
    <w:rsid w:val="00CB6C21"/>
    <w:rsid w:val="00CC1DA6"/>
    <w:rsid w:val="00CC2AE8"/>
    <w:rsid w:val="00CC46D4"/>
    <w:rsid w:val="00CD0068"/>
    <w:rsid w:val="00CD4832"/>
    <w:rsid w:val="00CD515F"/>
    <w:rsid w:val="00CE0C34"/>
    <w:rsid w:val="00CE5E29"/>
    <w:rsid w:val="00CF0342"/>
    <w:rsid w:val="00CF0813"/>
    <w:rsid w:val="00CF1EC0"/>
    <w:rsid w:val="00CF3722"/>
    <w:rsid w:val="00CF3AFB"/>
    <w:rsid w:val="00D01319"/>
    <w:rsid w:val="00D041F5"/>
    <w:rsid w:val="00D16423"/>
    <w:rsid w:val="00D17D7C"/>
    <w:rsid w:val="00D225EA"/>
    <w:rsid w:val="00D27F35"/>
    <w:rsid w:val="00D365C3"/>
    <w:rsid w:val="00D6415B"/>
    <w:rsid w:val="00D6782C"/>
    <w:rsid w:val="00D75C38"/>
    <w:rsid w:val="00D84220"/>
    <w:rsid w:val="00D85F88"/>
    <w:rsid w:val="00D878D6"/>
    <w:rsid w:val="00D87BB4"/>
    <w:rsid w:val="00D93AAC"/>
    <w:rsid w:val="00D972DE"/>
    <w:rsid w:val="00D9756A"/>
    <w:rsid w:val="00DA1E3B"/>
    <w:rsid w:val="00DA1F43"/>
    <w:rsid w:val="00DA25ED"/>
    <w:rsid w:val="00DA523D"/>
    <w:rsid w:val="00DA5B30"/>
    <w:rsid w:val="00DB1489"/>
    <w:rsid w:val="00DB5DF0"/>
    <w:rsid w:val="00DC0D48"/>
    <w:rsid w:val="00DC1AA9"/>
    <w:rsid w:val="00DC6C6E"/>
    <w:rsid w:val="00DD208A"/>
    <w:rsid w:val="00DD44D3"/>
    <w:rsid w:val="00DE01D2"/>
    <w:rsid w:val="00DF37CC"/>
    <w:rsid w:val="00E03545"/>
    <w:rsid w:val="00E05323"/>
    <w:rsid w:val="00E13097"/>
    <w:rsid w:val="00E14D41"/>
    <w:rsid w:val="00E1623F"/>
    <w:rsid w:val="00E252F9"/>
    <w:rsid w:val="00E26E8C"/>
    <w:rsid w:val="00E271C1"/>
    <w:rsid w:val="00E32EA0"/>
    <w:rsid w:val="00E34741"/>
    <w:rsid w:val="00E34DE7"/>
    <w:rsid w:val="00E36CED"/>
    <w:rsid w:val="00E54E92"/>
    <w:rsid w:val="00E60ACC"/>
    <w:rsid w:val="00E62844"/>
    <w:rsid w:val="00E70C9E"/>
    <w:rsid w:val="00E732DE"/>
    <w:rsid w:val="00E74011"/>
    <w:rsid w:val="00E77235"/>
    <w:rsid w:val="00E777D5"/>
    <w:rsid w:val="00E96785"/>
    <w:rsid w:val="00E974F2"/>
    <w:rsid w:val="00EA3EC4"/>
    <w:rsid w:val="00EC44C4"/>
    <w:rsid w:val="00ED68DE"/>
    <w:rsid w:val="00EE41A6"/>
    <w:rsid w:val="00EF1E49"/>
    <w:rsid w:val="00F0090E"/>
    <w:rsid w:val="00F024D7"/>
    <w:rsid w:val="00F04B24"/>
    <w:rsid w:val="00F20CEF"/>
    <w:rsid w:val="00F216B1"/>
    <w:rsid w:val="00F21934"/>
    <w:rsid w:val="00F261EC"/>
    <w:rsid w:val="00F32911"/>
    <w:rsid w:val="00F3567A"/>
    <w:rsid w:val="00F408D2"/>
    <w:rsid w:val="00F42A43"/>
    <w:rsid w:val="00F47515"/>
    <w:rsid w:val="00F5223C"/>
    <w:rsid w:val="00F53534"/>
    <w:rsid w:val="00F57A62"/>
    <w:rsid w:val="00F6306D"/>
    <w:rsid w:val="00F6737D"/>
    <w:rsid w:val="00F712BF"/>
    <w:rsid w:val="00F7228C"/>
    <w:rsid w:val="00F72754"/>
    <w:rsid w:val="00F76FAF"/>
    <w:rsid w:val="00F80BCC"/>
    <w:rsid w:val="00F8590A"/>
    <w:rsid w:val="00FA1B15"/>
    <w:rsid w:val="00FA54F7"/>
    <w:rsid w:val="00FB2117"/>
    <w:rsid w:val="00FC739D"/>
    <w:rsid w:val="00FD447B"/>
    <w:rsid w:val="00FD624E"/>
    <w:rsid w:val="00FE4AF6"/>
    <w:rsid w:val="00FF3A48"/>
    <w:rsid w:val="00FF50D5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E57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7E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7E3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7E3"/>
    <w:rPr>
      <w:rFonts w:ascii="Tahoma" w:eastAsia="Batang" w:hAnsi="Tahoma" w:cs="Tahoma"/>
      <w:sz w:val="16"/>
      <w:szCs w:val="16"/>
      <w:lang w:val="es-ES" w:eastAsia="ko-K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011"/>
    <w:rPr>
      <w:rFonts w:ascii="Times New Roman" w:eastAsia="Batang" w:hAnsi="Times New Roman" w:cs="Times New Roman"/>
      <w:b/>
      <w:bCs/>
      <w:sz w:val="20"/>
      <w:szCs w:val="20"/>
      <w:lang w:val="es-ES" w:eastAsia="ko-KR"/>
    </w:rPr>
  </w:style>
  <w:style w:type="character" w:styleId="Hipervnculo">
    <w:name w:val="Hyperlink"/>
    <w:basedOn w:val="Fuentedeprrafopredeter"/>
    <w:uiPriority w:val="99"/>
    <w:unhideWhenUsed/>
    <w:rsid w:val="00DF37C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F37CC"/>
  </w:style>
  <w:style w:type="character" w:styleId="Textoennegrita">
    <w:name w:val="Strong"/>
    <w:basedOn w:val="Fuentedeprrafopredeter"/>
    <w:uiPriority w:val="22"/>
    <w:qFormat/>
    <w:rsid w:val="00676737"/>
    <w:rPr>
      <w:b/>
      <w:bCs/>
    </w:rPr>
  </w:style>
  <w:style w:type="paragraph" w:styleId="Prrafodelista">
    <w:name w:val="List Paragraph"/>
    <w:basedOn w:val="Normal"/>
    <w:uiPriority w:val="34"/>
    <w:qFormat/>
    <w:rsid w:val="00E967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54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11FBF"/>
    <w:rPr>
      <w:color w:val="808080"/>
    </w:rPr>
  </w:style>
  <w:style w:type="paragraph" w:customStyle="1" w:styleId="Default">
    <w:name w:val="Default"/>
    <w:rsid w:val="00917079"/>
    <w:pPr>
      <w:autoSpaceDE w:val="0"/>
      <w:autoSpaceDN w:val="0"/>
      <w:adjustRightInd w:val="0"/>
      <w:spacing w:after="0" w:line="240" w:lineRule="auto"/>
    </w:pPr>
    <w:rPr>
      <w:rFonts w:ascii="GGNFCH+Arial" w:hAnsi="GGNFCH+Arial" w:cs="GGNFCH+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E57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7E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7E3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7E3"/>
    <w:rPr>
      <w:rFonts w:ascii="Tahoma" w:eastAsia="Batang" w:hAnsi="Tahoma" w:cs="Tahoma"/>
      <w:sz w:val="16"/>
      <w:szCs w:val="16"/>
      <w:lang w:val="es-ES" w:eastAsia="ko-K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011"/>
    <w:rPr>
      <w:rFonts w:ascii="Times New Roman" w:eastAsia="Batang" w:hAnsi="Times New Roman" w:cs="Times New Roman"/>
      <w:b/>
      <w:bCs/>
      <w:sz w:val="20"/>
      <w:szCs w:val="20"/>
      <w:lang w:val="es-ES" w:eastAsia="ko-KR"/>
    </w:rPr>
  </w:style>
  <w:style w:type="character" w:styleId="Hipervnculo">
    <w:name w:val="Hyperlink"/>
    <w:basedOn w:val="Fuentedeprrafopredeter"/>
    <w:uiPriority w:val="99"/>
    <w:unhideWhenUsed/>
    <w:rsid w:val="00DF37C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F37CC"/>
  </w:style>
  <w:style w:type="character" w:styleId="Textoennegrita">
    <w:name w:val="Strong"/>
    <w:basedOn w:val="Fuentedeprrafopredeter"/>
    <w:uiPriority w:val="22"/>
    <w:qFormat/>
    <w:rsid w:val="00676737"/>
    <w:rPr>
      <w:b/>
      <w:bCs/>
    </w:rPr>
  </w:style>
  <w:style w:type="paragraph" w:styleId="Prrafodelista">
    <w:name w:val="List Paragraph"/>
    <w:basedOn w:val="Normal"/>
    <w:uiPriority w:val="34"/>
    <w:qFormat/>
    <w:rsid w:val="00E967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54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11FBF"/>
    <w:rPr>
      <w:color w:val="808080"/>
    </w:rPr>
  </w:style>
  <w:style w:type="paragraph" w:customStyle="1" w:styleId="Default">
    <w:name w:val="Default"/>
    <w:rsid w:val="00917079"/>
    <w:pPr>
      <w:autoSpaceDE w:val="0"/>
      <w:autoSpaceDN w:val="0"/>
      <w:adjustRightInd w:val="0"/>
      <w:spacing w:after="0" w:line="240" w:lineRule="auto"/>
    </w:pPr>
    <w:rPr>
      <w:rFonts w:ascii="GGNFCH+Arial" w:hAnsi="GGNFCH+Arial" w:cs="GGNFCH+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oya\Documents\Indicadores%20SIEA\FM_Homologada_v3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4133E-1CE5-4B7F-AECF-47573B5BC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FM_Homologada_v3</Template>
  <TotalTime>7</TotalTime>
  <Pages>5</Pages>
  <Words>909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cmoya</dc:creator>
  <cp:lastModifiedBy>INEC Edison Villagrán</cp:lastModifiedBy>
  <cp:revision>4</cp:revision>
  <cp:lastPrinted>2015-01-27T18:45:00Z</cp:lastPrinted>
  <dcterms:created xsi:type="dcterms:W3CDTF">2016-10-18T17:47:00Z</dcterms:created>
  <dcterms:modified xsi:type="dcterms:W3CDTF">2016-10-27T16:36:00Z</dcterms:modified>
</cp:coreProperties>
</file>