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319"/>
        <w:gridCol w:w="1183"/>
        <w:gridCol w:w="1072"/>
        <w:gridCol w:w="3162"/>
        <w:gridCol w:w="1459"/>
      </w:tblGrid>
      <w:tr w:rsidR="005076B7" w:rsidRPr="00EE1B5A" w:rsidTr="001D4A40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5076B7" w:rsidRPr="00EE1B5A" w:rsidRDefault="005076B7" w:rsidP="0055378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5076B7" w:rsidRPr="00EE1B5A" w:rsidTr="001D4A40">
        <w:trPr>
          <w:trHeight w:val="612"/>
          <w:tblCellSpacing w:w="20" w:type="dxa"/>
        </w:trPr>
        <w:tc>
          <w:tcPr>
            <w:tcW w:w="1866" w:type="pct"/>
            <w:gridSpan w:val="2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NOMBRE DEL INDICADOR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5076B7" w:rsidRPr="00EE1B5A" w:rsidRDefault="005076B7" w:rsidP="0068432C">
            <w:pPr>
              <w:spacing w:before="24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5076B7"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Proporción de municipios que </w:t>
            </w:r>
            <w:r w:rsidR="0068432C"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cuentan con </w:t>
            </w:r>
            <w:r w:rsidRPr="005076B7"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 </w:t>
            </w:r>
            <w:r w:rsidR="0068432C">
              <w:rPr>
                <w:rFonts w:ascii="Arial" w:eastAsia="Times New Roman" w:hAnsi="Arial" w:cs="Arial"/>
                <w:b/>
                <w:color w:val="000000"/>
                <w:lang w:val="es-EC"/>
              </w:rPr>
              <w:t>sistemas de tratamiento de agua</w:t>
            </w:r>
          </w:p>
        </w:tc>
      </w:tr>
      <w:tr w:rsidR="005076B7" w:rsidRPr="00EE1B5A" w:rsidTr="001D4A40">
        <w:trPr>
          <w:trHeight w:val="606"/>
          <w:tblCellSpacing w:w="20" w:type="dxa"/>
        </w:trPr>
        <w:tc>
          <w:tcPr>
            <w:tcW w:w="1866" w:type="pct"/>
            <w:gridSpan w:val="2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DEFINICIÓN</w:t>
            </w:r>
          </w:p>
        </w:tc>
        <w:tc>
          <w:tcPr>
            <w:tcW w:w="3069" w:type="pct"/>
            <w:gridSpan w:val="3"/>
            <w:shd w:val="clear" w:color="auto" w:fill="auto"/>
            <w:vAlign w:val="center"/>
            <w:hideMark/>
          </w:tcPr>
          <w:p w:rsidR="005076B7" w:rsidRPr="00EE1B5A" w:rsidRDefault="00577970" w:rsidP="00120BB5">
            <w:pPr>
              <w:spacing w:before="240"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Muestra el porcentaje de GAD</w:t>
            </w:r>
            <w:r w:rsidR="0068432C">
              <w:rPr>
                <w:rFonts w:ascii="Arial" w:eastAsia="Times New Roman" w:hAnsi="Arial" w:cs="Arial"/>
                <w:color w:val="000000"/>
                <w:lang w:val="es-EC"/>
              </w:rPr>
              <w:t xml:space="preserve"> Municipales a nivel nacional</w:t>
            </w:r>
            <w:r w:rsidR="006F5F32">
              <w:rPr>
                <w:rFonts w:ascii="Arial" w:eastAsia="Times New Roman" w:hAnsi="Arial" w:cs="Arial"/>
                <w:color w:val="000000"/>
                <w:lang w:val="es-EC"/>
              </w:rPr>
              <w:t xml:space="preserve"> </w:t>
            </w:r>
            <w:r w:rsidR="0068432C" w:rsidRPr="0068432C">
              <w:rPr>
                <w:rFonts w:ascii="Arial" w:eastAsia="Times New Roman" w:hAnsi="Arial" w:cs="Arial"/>
                <w:color w:val="000000"/>
                <w:lang w:val="es-EC"/>
              </w:rPr>
              <w:t xml:space="preserve">que cuentan con  sistemas de tratamiento de agua </w:t>
            </w:r>
            <w:r w:rsidR="00120BB5">
              <w:rPr>
                <w:rFonts w:ascii="Arial" w:eastAsia="Times New Roman" w:hAnsi="Arial" w:cs="Arial"/>
                <w:color w:val="000000"/>
                <w:lang w:val="es-EC"/>
              </w:rPr>
              <w:t>en</w:t>
            </w:r>
            <w:r w:rsidR="006F5F32">
              <w:rPr>
                <w:rFonts w:ascii="Arial" w:eastAsia="Times New Roman" w:hAnsi="Arial" w:cs="Arial"/>
                <w:color w:val="000000"/>
                <w:lang w:val="es-EC"/>
              </w:rPr>
              <w:t xml:space="preserve"> un periodo determinado.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076B7" w:rsidRPr="00EE1B5A" w:rsidRDefault="005076B7" w:rsidP="00A74631">
            <w:pPr>
              <w:spacing w:before="240"/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FÓRMULA DE CÀLCULO</w:t>
            </w:r>
          </w:p>
        </w:tc>
      </w:tr>
      <w:tr w:rsidR="005076B7" w:rsidRPr="001B03C6" w:rsidTr="001D4A4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5076B7" w:rsidRPr="00A74631" w:rsidRDefault="00A74631" w:rsidP="001D4A40">
            <w:pPr>
              <w:spacing w:before="240"/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lang w:val="es-EC"/>
                  </w:rPr>
                  <m:t>PMPPA=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Cs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bCs/>
                            <w:lang w:val="es-EC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lang w:val="es-EC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lang w:val="es-EC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lang w:val="es-EC"/>
                                  </w:rPr>
                                  <m:t>X</m:t>
                                </m:r>
                              </m:e>
                              <m:sub>
                                <m:d>
                                  <m:dPr>
                                    <m:ctrlPr>
                                      <w:rPr>
                                        <w:rFonts w:ascii="Cambria Math" w:eastAsia="Times New Roman" w:hAnsi="Cambria Math" w:cs="Arial"/>
                                        <w:bCs/>
                                        <w:lang w:val="es-EC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Arial"/>
                                        <w:lang w:val="es-EC"/>
                                      </w:rPr>
                                      <m:t>t</m:t>
                                    </m:r>
                                  </m:e>
                                </m:d>
                              </m:sub>
                            </m:sSub>
                          </m:e>
                        </m:nary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lang w:val="es-EC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lang w:val="es-EC"/>
                              </w:rPr>
                              <m:t>Y</m:t>
                            </m:r>
                          </m:e>
                          <m:sub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Arial"/>
                                    <w:bCs/>
                                    <w:lang w:val="es-EC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lang w:val="es-EC"/>
                                  </w:rPr>
                                  <m:t>t</m:t>
                                </m:r>
                              </m:e>
                            </m:d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lang w:val="es-EC"/>
                  </w:rPr>
                  <m:t>*100</m:t>
                </m:r>
              </m:oMath>
            </m:oMathPara>
          </w:p>
          <w:p w:rsidR="006F5F32" w:rsidRPr="00A74631" w:rsidRDefault="00F42C34" w:rsidP="00553787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>Dónde:</w:t>
            </w:r>
          </w:p>
          <w:p w:rsidR="006F5F32" w:rsidRPr="001D4A40" w:rsidRDefault="00F42C34" w:rsidP="00F42C34">
            <w:pPr>
              <w:jc w:val="both"/>
              <w:rPr>
                <w:rFonts w:ascii="Cambria Math" w:eastAsia="Times New Roman" w:hAnsi="Cambria Math" w:cs="Arial"/>
                <w:b/>
                <w:bCs/>
                <w:lang w:val="es-EC"/>
              </w:rPr>
            </w:pPr>
            <w:proofErr w:type="gramStart"/>
            <w:r w:rsidRPr="001D4A40">
              <w:rPr>
                <w:rFonts w:ascii="Cambria Math" w:eastAsia="Times New Roman" w:hAnsi="Cambria Math" w:cs="Arial"/>
                <w:b/>
                <w:bCs/>
                <w:lang w:val="es-EC"/>
              </w:rPr>
              <w:t>PMPPA</w:t>
            </w:r>
            <w:r w:rsidR="00215A05" w:rsidRPr="001D4A40">
              <w:rPr>
                <w:rFonts w:ascii="Cambria Math" w:eastAsia="Times New Roman" w:hAnsi="Cambria Math" w:cs="Arial"/>
                <w:b/>
                <w:bCs/>
                <w:vertAlign w:val="subscript"/>
                <w:lang w:val="es-EC"/>
              </w:rPr>
              <w:t>(</w:t>
            </w:r>
            <w:proofErr w:type="gramEnd"/>
            <w:r w:rsidR="00215A05" w:rsidRPr="001D4A40">
              <w:rPr>
                <w:rFonts w:ascii="Cambria Math" w:eastAsia="Times New Roman" w:hAnsi="Cambria Math" w:cs="Arial"/>
                <w:b/>
                <w:bCs/>
                <w:vertAlign w:val="subscript"/>
                <w:lang w:val="es-EC"/>
              </w:rPr>
              <w:t>t)</w:t>
            </w:r>
            <w:r w:rsidRPr="001D4A40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= </w:t>
            </w:r>
            <w:r w:rsidR="00107780" w:rsidRPr="001D4A40">
              <w:rPr>
                <w:rFonts w:ascii="Cambria Math" w:eastAsia="Times New Roman" w:hAnsi="Cambria Math" w:cs="Arial"/>
                <w:b/>
                <w:bCs/>
                <w:lang w:val="es-EC"/>
              </w:rPr>
              <w:t>Proporción de GAD</w:t>
            </w:r>
            <w:r w:rsidR="00E34646" w:rsidRPr="001D4A40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 Municipales </w:t>
            </w:r>
            <w:r w:rsidR="0068432C" w:rsidRPr="0068432C">
              <w:rPr>
                <w:rFonts w:ascii="Cambria Math" w:eastAsia="Times New Roman" w:hAnsi="Cambria Math" w:cs="Arial"/>
                <w:b/>
                <w:bCs/>
                <w:lang w:val="es-EC"/>
              </w:rPr>
              <w:t xml:space="preserve">que cuentan con  sistemas de tratamiento de agua </w:t>
            </w:r>
            <w:r w:rsidR="00215A05" w:rsidRPr="001D4A40">
              <w:rPr>
                <w:rFonts w:ascii="Cambria Math" w:eastAsia="Times New Roman" w:hAnsi="Cambria Math" w:cs="Arial"/>
                <w:b/>
                <w:bCs/>
                <w:lang w:val="es-EC"/>
              </w:rPr>
              <w:t>en el periodo t</w:t>
            </w:r>
            <w:r w:rsidR="00E34646" w:rsidRPr="001D4A40">
              <w:rPr>
                <w:rFonts w:ascii="Cambria Math" w:eastAsia="Times New Roman" w:hAnsi="Cambria Math" w:cs="Arial"/>
                <w:b/>
                <w:bCs/>
                <w:lang w:val="es-EC"/>
              </w:rPr>
              <w:t>.</w:t>
            </w:r>
          </w:p>
          <w:p w:rsidR="00E34646" w:rsidRPr="00A74631" w:rsidRDefault="00E34646" w:rsidP="00F42C34">
            <w:pPr>
              <w:jc w:val="both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>X</w:t>
            </w:r>
            <w:r w:rsidRPr="00A74631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 xml:space="preserve"> (t)</w:t>
            </w: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 xml:space="preserve"> = </w:t>
            </w:r>
            <w:r w:rsidR="00107780" w:rsidRPr="00A74631">
              <w:rPr>
                <w:rFonts w:ascii="Cambria Math" w:eastAsia="Times New Roman" w:hAnsi="Cambria Math" w:cs="Arial"/>
                <w:bCs/>
                <w:lang w:val="es-EC"/>
              </w:rPr>
              <w:t>GAD</w:t>
            </w: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 xml:space="preserve"> Municipales </w:t>
            </w:r>
            <w:r w:rsidR="0068432C" w:rsidRPr="0068432C">
              <w:rPr>
                <w:rFonts w:ascii="Cambria Math" w:eastAsia="Times New Roman" w:hAnsi="Cambria Math" w:cs="Arial"/>
                <w:bCs/>
                <w:lang w:val="es-EC"/>
              </w:rPr>
              <w:t xml:space="preserve">que cuentan con  sistemas de tratamiento de agua </w:t>
            </w: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>en el periodo t.</w:t>
            </w:r>
          </w:p>
          <w:p w:rsidR="00F42C34" w:rsidRPr="00C721D7" w:rsidRDefault="00E34646" w:rsidP="00F42C34">
            <w:pPr>
              <w:jc w:val="both"/>
              <w:rPr>
                <w:rFonts w:ascii="Arial" w:eastAsia="Times New Roman" w:hAnsi="Arial" w:cs="Arial"/>
                <w:bCs/>
                <w:i/>
                <w:lang w:val="es-EC"/>
              </w:rPr>
            </w:pP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>Y</w:t>
            </w:r>
            <w:r w:rsidRPr="00A74631">
              <w:rPr>
                <w:rFonts w:ascii="Cambria Math" w:eastAsia="Times New Roman" w:hAnsi="Cambria Math" w:cs="Arial"/>
                <w:bCs/>
                <w:vertAlign w:val="subscript"/>
                <w:lang w:val="es-EC"/>
              </w:rPr>
              <w:t xml:space="preserve"> (t) </w:t>
            </w: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 xml:space="preserve">= </w:t>
            </w:r>
            <w:r w:rsidR="00107780" w:rsidRPr="00A74631">
              <w:rPr>
                <w:rFonts w:ascii="Cambria Math" w:eastAsia="Times New Roman" w:hAnsi="Cambria Math" w:cs="Arial"/>
                <w:bCs/>
                <w:lang w:val="es-EC"/>
              </w:rPr>
              <w:t>Total de GAD</w:t>
            </w:r>
            <w:r w:rsidRPr="00A74631">
              <w:rPr>
                <w:rFonts w:ascii="Cambria Math" w:eastAsia="Times New Roman" w:hAnsi="Cambria Math" w:cs="Arial"/>
                <w:bCs/>
                <w:lang w:val="es-EC"/>
              </w:rPr>
              <w:t xml:space="preserve"> Municipales en el periodo t.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DEFINICIÓN DE LAS VARIABLES RELACIONADAS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E34646" w:rsidRPr="0030013E" w:rsidRDefault="00E34646" w:rsidP="001D4A40">
            <w:pPr>
              <w:spacing w:before="24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30013E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Gobierno Autónomo Descentralizado Municipal (GAD Municipal).- </w:t>
            </w:r>
            <w:r w:rsidRPr="0030013E">
              <w:rPr>
                <w:rFonts w:ascii="Arial" w:hAnsi="Arial" w:cs="Arial"/>
                <w:color w:val="000000"/>
                <w:lang w:val="es-EC"/>
              </w:rPr>
              <w:t>Persona jurídica de derecho público, con autonomía política, administrativa y financiera.</w:t>
            </w:r>
          </w:p>
          <w:p w:rsidR="00E34646" w:rsidRPr="0030013E" w:rsidRDefault="00E34646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30013E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Cantón: </w:t>
            </w:r>
            <w:r w:rsidRPr="0030013E">
              <w:rPr>
                <w:rFonts w:ascii="Arial" w:hAnsi="Arial" w:cs="Arial"/>
                <w:color w:val="000000"/>
                <w:lang w:val="es-EC"/>
              </w:rPr>
              <w:t xml:space="preserve">Circunscripción territorial conformada por parroquias rurales y la cabecera cantonal con sus parroquias urbanas, señaladas en su respectiva ley de creación, y por las que se crearen con posterioridad, de conformidad con la presente ley. </w:t>
            </w:r>
          </w:p>
          <w:p w:rsidR="00E34646" w:rsidRPr="0030013E" w:rsidRDefault="00E34646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3F16C4" w:rsidRDefault="003F16C4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>
              <w:rPr>
                <w:rFonts w:ascii="Arial" w:hAnsi="Arial" w:cs="Arial"/>
                <w:b/>
                <w:color w:val="000000"/>
                <w:lang w:val="es-EC"/>
              </w:rPr>
              <w:t xml:space="preserve">Agua </w:t>
            </w:r>
            <w:r w:rsidR="0068432C">
              <w:rPr>
                <w:rFonts w:ascii="Arial" w:hAnsi="Arial" w:cs="Arial"/>
                <w:b/>
                <w:color w:val="000000"/>
                <w:lang w:val="es-EC"/>
              </w:rPr>
              <w:t>apta para el consumo humano</w:t>
            </w:r>
            <w:r>
              <w:rPr>
                <w:rFonts w:ascii="Arial" w:hAnsi="Arial" w:cs="Arial"/>
                <w:b/>
                <w:color w:val="000000"/>
                <w:lang w:val="es-EC"/>
              </w:rPr>
              <w:t>.-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C"/>
              </w:rPr>
              <w:t xml:space="preserve"> </w:t>
            </w:r>
            <w:r w:rsidRPr="0006072A">
              <w:rPr>
                <w:rFonts w:ascii="Arial" w:hAnsi="Arial" w:cs="Arial"/>
                <w:color w:val="000000"/>
                <w:lang w:val="es-EC"/>
              </w:rPr>
              <w:t xml:space="preserve">Es el agua cuyas características físicas, químicas microbiológicas han sido tratadas a fin de garantizar su aptitud para consumo humano.  </w:t>
            </w:r>
          </w:p>
          <w:p w:rsidR="0079206C" w:rsidRPr="0030013E" w:rsidRDefault="0079206C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EC"/>
              </w:rPr>
            </w:pPr>
          </w:p>
          <w:p w:rsidR="005076B7" w:rsidRPr="003D0ED1" w:rsidRDefault="0068432C" w:rsidP="0068432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>
              <w:rPr>
                <w:rFonts w:ascii="Arial" w:hAnsi="Arial" w:cs="Arial"/>
                <w:b/>
                <w:color w:val="000000"/>
                <w:lang w:val="es-EC"/>
              </w:rPr>
              <w:t>S</w:t>
            </w:r>
            <w:r w:rsidRPr="0068432C">
              <w:rPr>
                <w:rFonts w:ascii="Arial" w:hAnsi="Arial" w:cs="Arial"/>
                <w:b/>
                <w:color w:val="000000"/>
                <w:lang w:val="es-EC"/>
              </w:rPr>
              <w:t>istemas de tratamiento de agua</w:t>
            </w:r>
            <w:r w:rsidR="0079206C" w:rsidRPr="0030013E">
              <w:rPr>
                <w:rFonts w:ascii="Arial" w:hAnsi="Arial" w:cs="Arial"/>
                <w:b/>
                <w:color w:val="000000"/>
                <w:lang w:val="es-EC"/>
              </w:rPr>
              <w:t>.-</w:t>
            </w:r>
            <w:r w:rsidR="001E5BBB">
              <w:rPr>
                <w:rFonts w:ascii="Arial" w:hAnsi="Arial" w:cs="Arial"/>
                <w:b/>
                <w:color w:val="000000"/>
                <w:lang w:val="es-EC"/>
              </w:rPr>
              <w:t xml:space="preserve"> </w:t>
            </w:r>
            <w:r w:rsidRPr="0068432C">
              <w:rPr>
                <w:rFonts w:ascii="Arial" w:hAnsi="Arial" w:cs="Arial"/>
                <w:color w:val="000000"/>
                <w:lang w:val="es-EC"/>
              </w:rPr>
              <w:t xml:space="preserve">Son los sistemas destinados a </w:t>
            </w:r>
            <w:r w:rsidR="003D0ED1" w:rsidRPr="003D0ED1">
              <w:rPr>
                <w:rFonts w:ascii="Arial" w:hAnsi="Arial" w:cs="Arial"/>
                <w:color w:val="000000"/>
                <w:lang w:val="es-EC"/>
              </w:rPr>
              <w:t>detectar cualquier posible contaminante microbiológico o químico y aplicar las metodologías para que no se continúe la contaminación.</w:t>
            </w:r>
            <w:r w:rsidR="003D0ED1">
              <w:rPr>
                <w:rFonts w:ascii="Arial" w:hAnsi="Arial" w:cs="Arial"/>
                <w:b/>
                <w:color w:val="000000"/>
                <w:lang w:val="es-EC"/>
              </w:rPr>
              <w:t xml:space="preserve"> </w:t>
            </w:r>
            <w:r w:rsidR="003D0ED1" w:rsidRPr="003D0ED1">
              <w:rPr>
                <w:rFonts w:ascii="Arial" w:hAnsi="Arial" w:cs="Arial"/>
                <w:color w:val="000000"/>
                <w:lang w:val="es-EC"/>
              </w:rPr>
              <w:t>L</w:t>
            </w:r>
            <w:r w:rsidR="001E5BBB">
              <w:rPr>
                <w:rFonts w:ascii="Arial" w:hAnsi="Arial" w:cs="Arial"/>
                <w:color w:val="000000"/>
                <w:lang w:val="es-EC"/>
              </w:rPr>
              <w:t xml:space="preserve">as características del agua para ser consideradas aptas para el consumo humano deben mantenerse dentro de los límites que son establecidos en la </w:t>
            </w:r>
            <w:r>
              <w:rPr>
                <w:rFonts w:ascii="Arial" w:hAnsi="Arial" w:cs="Arial"/>
                <w:color w:val="000000"/>
                <w:lang w:val="es-EC"/>
              </w:rPr>
              <w:t>Norma  de Calidad del Agua Potable</w:t>
            </w:r>
            <w:r w:rsidR="001E5BBB">
              <w:rPr>
                <w:rFonts w:ascii="Arial" w:hAnsi="Arial" w:cs="Arial"/>
                <w:color w:val="000000"/>
                <w:lang w:val="es-EC"/>
              </w:rPr>
              <w:t xml:space="preserve"> INEN 1108.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METODOLOGÍA DE CÁLCULO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076B7" w:rsidRPr="00EE1B5A" w:rsidRDefault="004A6B71" w:rsidP="007038BB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Se calcula como el coci</w:t>
            </w:r>
            <w:r w:rsidR="00577970">
              <w:rPr>
                <w:rFonts w:ascii="Arial" w:eastAsia="Times New Roman" w:hAnsi="Arial" w:cs="Arial"/>
                <w:lang w:val="es-EC"/>
              </w:rPr>
              <w:t>ente entre la sumatoria de GAD</w:t>
            </w:r>
            <w:r>
              <w:rPr>
                <w:rFonts w:ascii="Arial" w:eastAsia="Times New Roman" w:hAnsi="Arial" w:cs="Arial"/>
                <w:lang w:val="es-EC"/>
              </w:rPr>
              <w:t xml:space="preserve"> Municipales </w:t>
            </w:r>
            <w:r w:rsidR="007038BB" w:rsidRPr="007038BB">
              <w:rPr>
                <w:rFonts w:ascii="Arial" w:eastAsia="Times New Roman" w:hAnsi="Arial" w:cs="Arial"/>
                <w:lang w:val="es-EC"/>
              </w:rPr>
              <w:t>que cuentan con  sistemas de tratamiento de agua</w:t>
            </w:r>
            <w:r>
              <w:rPr>
                <w:rFonts w:ascii="Arial" w:eastAsia="Times New Roman" w:hAnsi="Arial" w:cs="Arial"/>
                <w:lang w:val="es-EC"/>
              </w:rPr>
              <w:t xml:space="preserve"> en un periodo de tiempo determinado (nu</w:t>
            </w:r>
            <w:r w:rsidR="00577970">
              <w:rPr>
                <w:rFonts w:ascii="Arial" w:eastAsia="Times New Roman" w:hAnsi="Arial" w:cs="Arial"/>
                <w:lang w:val="es-EC"/>
              </w:rPr>
              <w:t>merador), para el total de GAD</w:t>
            </w:r>
            <w:r>
              <w:rPr>
                <w:rFonts w:ascii="Arial" w:eastAsia="Times New Roman" w:hAnsi="Arial" w:cs="Arial"/>
                <w:lang w:val="es-EC"/>
              </w:rPr>
              <w:t xml:space="preserve"> Municipales dentro del territorio nacional, en el mismo </w:t>
            </w:r>
            <w:r w:rsidR="00B73C45">
              <w:rPr>
                <w:rFonts w:ascii="Arial" w:eastAsia="Times New Roman" w:hAnsi="Arial" w:cs="Arial"/>
                <w:lang w:val="es-EC"/>
              </w:rPr>
              <w:t>periodo de tiempo (denominador),</w:t>
            </w:r>
            <w:r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B73C45">
              <w:rPr>
                <w:rFonts w:ascii="Arial" w:eastAsia="Times New Roman" w:hAnsi="Arial" w:cs="Arial"/>
                <w:lang w:val="es-EC"/>
              </w:rPr>
              <w:t>m</w:t>
            </w:r>
            <w:r>
              <w:rPr>
                <w:rFonts w:ascii="Arial" w:eastAsia="Times New Roman" w:hAnsi="Arial" w:cs="Arial"/>
                <w:lang w:val="es-EC"/>
              </w:rPr>
              <w:t>ultiplicado por cien (100) para ser expresado como porcentaje.</w:t>
            </w:r>
          </w:p>
        </w:tc>
      </w:tr>
      <w:tr w:rsidR="004A6B71" w:rsidRPr="00EE1B5A" w:rsidTr="001D4A40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4A6B71" w:rsidRPr="00EE1B5A" w:rsidRDefault="004A6B71" w:rsidP="004A6B71">
            <w:pPr>
              <w:jc w:val="center"/>
              <w:rPr>
                <w:rFonts w:ascii="Arial" w:eastAsia="Times New Roman" w:hAnsi="Arial" w:cs="Arial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LIMITACIONES TÉCNICAS</w:t>
            </w:r>
          </w:p>
        </w:tc>
      </w:tr>
      <w:tr w:rsidR="004A6B71" w:rsidRPr="00EE1B5A" w:rsidTr="001D4A40">
        <w:trPr>
          <w:trHeight w:val="677"/>
          <w:tblCellSpacing w:w="20" w:type="dxa"/>
        </w:trPr>
        <w:tc>
          <w:tcPr>
            <w:tcW w:w="4956" w:type="pct"/>
            <w:gridSpan w:val="5"/>
            <w:shd w:val="clear" w:color="auto" w:fill="auto"/>
            <w:vAlign w:val="center"/>
          </w:tcPr>
          <w:p w:rsidR="004A6B71" w:rsidRPr="00EE1B5A" w:rsidRDefault="00577970" w:rsidP="003D0ED1">
            <w:p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No aplica</w:t>
            </w:r>
            <w:r w:rsidR="00C721D7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5076B7" w:rsidRPr="00EE1B5A" w:rsidTr="001D4A40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UNIDAD DE MEDIDA DE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5076B7" w:rsidRPr="00EE1B5A" w:rsidRDefault="004A6B71" w:rsidP="001D4A4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 xml:space="preserve">Porcentaje </w:t>
            </w:r>
            <w:r w:rsidR="00577970">
              <w:rPr>
                <w:rFonts w:ascii="Arial" w:eastAsia="Times New Roman" w:hAnsi="Arial" w:cs="Arial"/>
                <w:lang w:val="es-EC"/>
              </w:rPr>
              <w:t>(</w:t>
            </w:r>
            <w:r>
              <w:rPr>
                <w:rFonts w:ascii="Arial" w:eastAsia="Times New Roman" w:hAnsi="Arial" w:cs="Arial"/>
                <w:lang w:val="es-EC"/>
              </w:rPr>
              <w:t>%</w:t>
            </w:r>
            <w:r w:rsidR="00577970">
              <w:rPr>
                <w:rFonts w:ascii="Arial" w:eastAsia="Times New Roman" w:hAnsi="Arial" w:cs="Arial"/>
                <w:lang w:val="es-EC"/>
              </w:rPr>
              <w:t>)</w:t>
            </w:r>
            <w:r w:rsidR="001A4CEE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5076B7" w:rsidRPr="00EE1B5A" w:rsidTr="001D4A40">
        <w:trPr>
          <w:trHeight w:val="630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INTERPRETACIÓN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9E6F78" w:rsidRDefault="00577970" w:rsidP="001D4A40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 xml:space="preserve">Se interpreta como </w:t>
            </w:r>
            <w:r w:rsidR="001D4A40">
              <w:rPr>
                <w:rFonts w:ascii="Arial" w:eastAsia="Times New Roman" w:hAnsi="Arial" w:cs="Arial"/>
                <w:lang w:val="es-EC"/>
              </w:rPr>
              <w:t xml:space="preserve">el porcentaje de </w:t>
            </w:r>
            <w:r>
              <w:rPr>
                <w:rFonts w:ascii="Arial" w:eastAsia="Times New Roman" w:hAnsi="Arial" w:cs="Arial"/>
                <w:lang w:val="es-EC"/>
              </w:rPr>
              <w:t xml:space="preserve">GAD </w:t>
            </w:r>
            <w:r w:rsidR="004A6B71">
              <w:rPr>
                <w:rFonts w:ascii="Arial" w:eastAsia="Times New Roman" w:hAnsi="Arial" w:cs="Arial"/>
                <w:lang w:val="es-EC"/>
              </w:rPr>
              <w:t xml:space="preserve">Municipales </w:t>
            </w:r>
            <w:r w:rsidR="007038BB" w:rsidRPr="007038BB">
              <w:rPr>
                <w:rFonts w:ascii="Arial" w:eastAsia="Times New Roman" w:hAnsi="Arial" w:cs="Arial"/>
                <w:lang w:val="es-EC"/>
              </w:rPr>
              <w:t>que cuentan con  sistemas de tratamiento de agua</w:t>
            </w:r>
            <w:r w:rsidR="007038BB">
              <w:rPr>
                <w:rFonts w:ascii="Arial" w:eastAsia="Times New Roman" w:hAnsi="Arial" w:cs="Arial"/>
                <w:lang w:val="es-EC"/>
              </w:rPr>
              <w:t>,</w:t>
            </w:r>
            <w:r w:rsidR="007038BB" w:rsidRPr="007038BB"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107780">
              <w:rPr>
                <w:rFonts w:ascii="Arial" w:eastAsia="Times New Roman" w:hAnsi="Arial" w:cs="Arial"/>
                <w:lang w:val="es-EC"/>
              </w:rPr>
              <w:t>en relación al total de GAD</w:t>
            </w:r>
            <w:r w:rsidR="009E6F78">
              <w:rPr>
                <w:rFonts w:ascii="Arial" w:eastAsia="Times New Roman" w:hAnsi="Arial" w:cs="Arial"/>
                <w:lang w:val="es-EC"/>
              </w:rPr>
              <w:t xml:space="preserve"> Municipales a nivel nacional.</w:t>
            </w:r>
          </w:p>
          <w:p w:rsidR="005076B7" w:rsidRPr="00EE1B5A" w:rsidRDefault="009E6F78" w:rsidP="007038BB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Los valores cercanos a 100% impl</w:t>
            </w:r>
            <w:r w:rsidR="00107780">
              <w:rPr>
                <w:rFonts w:ascii="Arial" w:eastAsia="Times New Roman" w:hAnsi="Arial" w:cs="Arial"/>
                <w:lang w:val="es-EC"/>
              </w:rPr>
              <w:t>ican que un alto número de GAD</w:t>
            </w:r>
            <w:r>
              <w:rPr>
                <w:rFonts w:ascii="Arial" w:eastAsia="Times New Roman" w:hAnsi="Arial" w:cs="Arial"/>
                <w:lang w:val="es-EC"/>
              </w:rPr>
              <w:t xml:space="preserve"> Municipales </w:t>
            </w:r>
            <w:r w:rsidR="007038BB" w:rsidRPr="007038BB">
              <w:rPr>
                <w:rFonts w:ascii="Arial" w:eastAsia="Times New Roman" w:hAnsi="Arial" w:cs="Arial"/>
                <w:lang w:val="es-EC"/>
              </w:rPr>
              <w:t>cuentan con  sistemas de tratamiento de agua</w:t>
            </w:r>
            <w:r>
              <w:rPr>
                <w:rFonts w:ascii="Arial" w:eastAsia="Times New Roman" w:hAnsi="Arial" w:cs="Arial"/>
                <w:lang w:val="es-EC"/>
              </w:rPr>
              <w:t xml:space="preserve"> dentro de su jurisdicción. </w:t>
            </w:r>
            <w:r w:rsidR="004A6B71">
              <w:rPr>
                <w:rFonts w:ascii="Arial" w:eastAsia="Times New Roman" w:hAnsi="Arial" w:cs="Arial"/>
                <w:lang w:val="es-EC"/>
              </w:rPr>
              <w:t xml:space="preserve"> </w:t>
            </w:r>
          </w:p>
        </w:tc>
      </w:tr>
      <w:tr w:rsidR="005076B7" w:rsidRPr="00EE1B5A" w:rsidTr="001D4A40">
        <w:trPr>
          <w:trHeight w:val="627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FUENTE DE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7A0545" w:rsidRPr="00AE2F58" w:rsidRDefault="007A0545" w:rsidP="007A0545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577970" w:rsidRPr="00EE1B5A" w:rsidRDefault="007A0545" w:rsidP="007A0545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hAnsi="Arial" w:cs="Arial"/>
                <w:color w:val="000000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5076B7" w:rsidRPr="00EE1B5A" w:rsidTr="001D4A40">
        <w:trPr>
          <w:trHeight w:val="74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PERIODICIDAD DEL INDICADOR Y/O LAS VARIABLES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5076B7" w:rsidRPr="00EE1B5A" w:rsidRDefault="00127377" w:rsidP="001D4A4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Anual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DISPONIBILIDAD DE LOS DATOS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5076B7" w:rsidRPr="00EE1B5A" w:rsidRDefault="00577970" w:rsidP="001D4A4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2015</w:t>
            </w:r>
          </w:p>
        </w:tc>
      </w:tr>
      <w:tr w:rsidR="005076B7" w:rsidRPr="00EE1B5A" w:rsidTr="001D4A40">
        <w:trPr>
          <w:trHeight w:val="611"/>
          <w:tblCellSpacing w:w="20" w:type="dxa"/>
        </w:trPr>
        <w:tc>
          <w:tcPr>
            <w:tcW w:w="1228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NIVEL DE DESAGREGACIÓN</w:t>
            </w:r>
          </w:p>
        </w:tc>
        <w:tc>
          <w:tcPr>
            <w:tcW w:w="119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GEOGRÁFICO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5076B7" w:rsidRDefault="00127377" w:rsidP="007A0545">
            <w:pPr>
              <w:pStyle w:val="Prrafodelista"/>
              <w:numPr>
                <w:ilvl w:val="0"/>
                <w:numId w:val="1"/>
              </w:numPr>
              <w:spacing w:before="240" w:after="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1D4A40" w:rsidRDefault="001D4A40" w:rsidP="001D4A40">
            <w:pPr>
              <w:pStyle w:val="Prrafodelista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Regional</w:t>
            </w:r>
          </w:p>
          <w:p w:rsidR="00127377" w:rsidRPr="001D4A40" w:rsidRDefault="00127377" w:rsidP="001D4A40">
            <w:pPr>
              <w:pStyle w:val="Prrafodelista"/>
              <w:numPr>
                <w:ilvl w:val="0"/>
                <w:numId w:val="1"/>
              </w:num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1228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19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GENERAL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8B7075" w:rsidRPr="00386AF9" w:rsidRDefault="00386AF9" w:rsidP="001D4A4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5076B7" w:rsidRPr="00EE1B5A" w:rsidTr="001D4A40">
        <w:trPr>
          <w:trHeight w:val="513"/>
          <w:tblCellSpacing w:w="20" w:type="dxa"/>
        </w:trPr>
        <w:tc>
          <w:tcPr>
            <w:tcW w:w="1228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19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OTROS ÁMBITOS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5076B7" w:rsidRPr="00EE1B5A" w:rsidRDefault="00127377" w:rsidP="001D4A40">
            <w:p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5076B7" w:rsidRPr="00EE1B5A" w:rsidTr="001D4A40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INFORMACIÓN GEO – REFERENCIADA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5076B7" w:rsidRPr="00EE1B5A" w:rsidRDefault="00127377" w:rsidP="001D4A4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No aplica</w:t>
            </w:r>
          </w:p>
        </w:tc>
      </w:tr>
      <w:tr w:rsidR="005076B7" w:rsidRPr="00EE1B5A" w:rsidTr="001D4A40">
        <w:trPr>
          <w:trHeight w:val="970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RELACIÓN CON INSTRUMENTOS DE PLANIFICACIÓN NACIONAL E INTERNACIONAL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</w:p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EC"/>
              </w:rPr>
              <w:t>Plan Nacional del Buen Vivir 2013-2017</w:t>
            </w:r>
          </w:p>
          <w:p w:rsidR="005D22D1" w:rsidRDefault="005D22D1" w:rsidP="001D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</w:p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EC"/>
              </w:rPr>
              <w:t>Objetivo 3</w:t>
            </w:r>
            <w:r>
              <w:rPr>
                <w:rFonts w:ascii="Arial" w:hAnsi="Arial" w:cs="Arial"/>
                <w:i/>
                <w:iCs/>
                <w:color w:val="000000"/>
                <w:lang w:val="es-EC"/>
              </w:rPr>
              <w:t>.-</w:t>
            </w:r>
            <w:r>
              <w:rPr>
                <w:rFonts w:ascii="Arial" w:hAnsi="Arial" w:cs="Arial"/>
                <w:color w:val="000000"/>
                <w:lang w:val="es-EC"/>
              </w:rPr>
              <w:t xml:space="preserve">  Mejorar la calidad de vida de  la población.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EC"/>
              </w:rPr>
              <w:t>Política 3.10.-</w:t>
            </w:r>
            <w:r>
              <w:rPr>
                <w:rFonts w:ascii="Arial" w:hAnsi="Arial" w:cs="Arial"/>
                <w:color w:val="000000"/>
                <w:lang w:val="es-EC"/>
              </w:rPr>
              <w:t xml:space="preserve"> Garantizar el acceso universal, permanente, sostenible y con calidad a agua segura y a servicios básicos de saneamiento, con pertinencia territorial, ambiental, social y cultural.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EC"/>
              </w:rPr>
              <w:t xml:space="preserve">Literal a.- </w:t>
            </w:r>
            <w:r>
              <w:rPr>
                <w:rFonts w:ascii="Arial" w:hAnsi="Arial" w:cs="Arial"/>
                <w:color w:val="000000"/>
                <w:lang w:val="es-EC"/>
              </w:rPr>
              <w:t>Generar incentivos que permitan a los distintos niveles de gobierno ampliar la dotación de instalaciones y equipamientos suficientes y eficientes, para la prestación oportuna de servicios de agua y saneamiento, con criterios de sustentabilidad y salubridad.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EC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AA013F" w:rsidRDefault="00AA013F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</w:pPr>
          </w:p>
          <w:p w:rsidR="00AA013F" w:rsidRDefault="00AA013F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AA013F">
              <w:rPr>
                <w:rFonts w:ascii="Arial" w:hAnsi="Arial" w:cs="Arial"/>
                <w:i/>
                <w:color w:val="000000"/>
                <w:lang w:val="es-EC"/>
              </w:rPr>
              <w:t>Literal c.-</w:t>
            </w:r>
            <w:r w:rsidRPr="00AA013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s-EC"/>
              </w:rPr>
              <w:t>Identificar, explotar y usar de manera sostenible y sustentable las fuentes de agua mejoradas para lograr eficiencia y sostenibilidad en los servicios de agua y saneamiento.</w:t>
            </w:r>
          </w:p>
          <w:p w:rsidR="00AA013F" w:rsidRDefault="00AA013F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AA013F" w:rsidRPr="00AA013F" w:rsidRDefault="00AA013F" w:rsidP="001D4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>
              <w:rPr>
                <w:rFonts w:ascii="Arial" w:hAnsi="Arial" w:cs="Arial"/>
                <w:i/>
                <w:color w:val="000000"/>
                <w:lang w:val="es-EC"/>
              </w:rPr>
              <w:t xml:space="preserve">Literal d.- </w:t>
            </w:r>
            <w:r>
              <w:rPr>
                <w:rFonts w:ascii="Arial" w:hAnsi="Arial" w:cs="Arial"/>
                <w:color w:val="000000"/>
                <w:lang w:val="es-EC"/>
              </w:rPr>
              <w:t xml:space="preserve"> Impulsar el mejoramiento de instalaciones de saneamiento en los hogares que garanticen condiciones higiénicas e impidan riesgos en la salud de la población.</w:t>
            </w:r>
          </w:p>
          <w:p w:rsidR="00127377" w:rsidRDefault="00127377" w:rsidP="001D4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C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C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s-EC"/>
              </w:rPr>
              <w:t xml:space="preserve"> </w:t>
            </w:r>
          </w:p>
          <w:p w:rsidR="00107780" w:rsidRPr="00EA17D0" w:rsidRDefault="00107780" w:rsidP="001D4A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B72EF9">
              <w:rPr>
                <w:rFonts w:ascii="Arial" w:hAnsi="Arial" w:cs="Arial"/>
                <w:b/>
                <w:i/>
                <w:color w:val="000000"/>
              </w:rPr>
              <w:t>Objetivos de Desarrollo Sostenible</w:t>
            </w:r>
          </w:p>
          <w:p w:rsidR="00107780" w:rsidRDefault="00107780" w:rsidP="001D4A4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107780">
              <w:rPr>
                <w:rFonts w:ascii="Arial" w:hAnsi="Arial" w:cs="Arial"/>
              </w:rPr>
              <w:t xml:space="preserve">Objetivo 6.- Agua Limpia y Saneamiento: </w:t>
            </w:r>
            <w:r w:rsidRPr="00107780">
              <w:rPr>
                <w:rFonts w:ascii="Arial" w:hAnsi="Arial" w:cs="Arial"/>
                <w:bCs/>
                <w:shd w:val="clear" w:color="auto" w:fill="FFFFFF"/>
              </w:rPr>
              <w:t>Garantizar la disponibilidad de</w:t>
            </w:r>
            <w:r w:rsidRPr="00107780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hyperlink r:id="rId7" w:tooltip="Agua" w:history="1">
              <w:r w:rsidRPr="00107780">
                <w:rPr>
                  <w:rStyle w:val="Hipervnculo"/>
                  <w:rFonts w:ascii="Arial" w:hAnsi="Arial" w:cs="Arial"/>
                  <w:bCs/>
                  <w:color w:val="auto"/>
                  <w:u w:val="none"/>
                  <w:shd w:val="clear" w:color="auto" w:fill="FFFFFF"/>
                </w:rPr>
                <w:t>agua</w:t>
              </w:r>
            </w:hyperlink>
            <w:r w:rsidRPr="00107780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107780">
              <w:rPr>
                <w:rFonts w:ascii="Arial" w:hAnsi="Arial" w:cs="Arial"/>
                <w:bCs/>
                <w:shd w:val="clear" w:color="auto" w:fill="FFFFFF"/>
              </w:rPr>
              <w:t>y su gestión sostenible y el saneamiento para todos.</w:t>
            </w:r>
          </w:p>
          <w:p w:rsidR="00127377" w:rsidRDefault="00107780" w:rsidP="001D4A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107780">
              <w:rPr>
                <w:rFonts w:ascii="Arial" w:eastAsia="Times New Roman" w:hAnsi="Arial" w:cs="Arial"/>
                <w:lang w:val="es-EC" w:eastAsia="es-EC"/>
              </w:rPr>
              <w:t xml:space="preserve">Para 2030, lograr el acceso universal y equitativo al agua </w:t>
            </w:r>
            <w:bookmarkStart w:id="0" w:name="_GoBack"/>
            <w:r w:rsidRPr="00107780">
              <w:rPr>
                <w:rFonts w:ascii="Arial" w:eastAsia="Times New Roman" w:hAnsi="Arial" w:cs="Arial"/>
                <w:lang w:val="es-EC" w:eastAsia="es-EC"/>
              </w:rPr>
              <w:t>potab</w:t>
            </w:r>
            <w:bookmarkEnd w:id="0"/>
            <w:r w:rsidRPr="00107780">
              <w:rPr>
                <w:rFonts w:ascii="Arial" w:eastAsia="Times New Roman" w:hAnsi="Arial" w:cs="Arial"/>
                <w:lang w:val="es-EC" w:eastAsia="es-EC"/>
              </w:rPr>
              <w:t>le, a un precio asequible para todos</w:t>
            </w:r>
          </w:p>
          <w:p w:rsidR="007A0545" w:rsidRPr="00782FD2" w:rsidRDefault="007A0545" w:rsidP="007A0545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Arial" w:hAnsi="Arial" w:cs="Arial"/>
                <w:lang w:val="es-EC"/>
              </w:rPr>
            </w:pP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lastRenderedPageBreak/>
              <w:t>Código  Orgánico  de Organización</w:t>
            </w:r>
            <w:r w:rsidRPr="00782FD2">
              <w:rPr>
                <w:rFonts w:ascii="Arial" w:hAnsi="Arial" w:cs="Arial"/>
                <w:lang w:val="es-EC"/>
              </w:rPr>
              <w:t xml:space="preserve"> </w:t>
            </w:r>
            <w:r w:rsidRPr="00782FD2">
              <w:rPr>
                <w:rFonts w:ascii="Arial" w:hAnsi="Arial" w:cs="Arial"/>
                <w:b/>
                <w:bCs/>
                <w:color w:val="000000"/>
                <w:lang w:val="es-EC"/>
              </w:rPr>
              <w:t>Territorial, Autonomía  y  Descentralización 2012</w:t>
            </w:r>
          </w:p>
          <w:p w:rsidR="007A0545" w:rsidRPr="001D4A40" w:rsidRDefault="007A0545" w:rsidP="007A0545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Sección Primera. Gestión Directa Artículos No. 276 a 293</w:t>
            </w:r>
          </w:p>
        </w:tc>
      </w:tr>
      <w:tr w:rsidR="005076B7" w:rsidRPr="00EE1B5A" w:rsidTr="001D4A40">
        <w:trPr>
          <w:trHeight w:val="982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5076B7" w:rsidRPr="00623A33" w:rsidRDefault="003F16C4" w:rsidP="00623A33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623A33">
              <w:rPr>
                <w:rFonts w:ascii="Arial" w:eastAsia="Times New Roman" w:hAnsi="Arial" w:cs="Arial"/>
                <w:b/>
                <w:color w:val="000000"/>
                <w:lang w:val="es-EC"/>
              </w:rPr>
              <w:t>Norma Técnica Ecuatoriana, Agua Potable, Quinta Revisión 2014-01. Instituto Ecuatoriano de Normalización.</w:t>
            </w:r>
          </w:p>
          <w:p w:rsidR="005D22D1" w:rsidRDefault="005D22D1" w:rsidP="00623A33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623A33">
              <w:rPr>
                <w:rFonts w:ascii="Arial" w:eastAsia="Times New Roman" w:hAnsi="Arial" w:cs="Arial"/>
                <w:b/>
                <w:color w:val="000000"/>
                <w:lang w:val="es-EC"/>
              </w:rPr>
              <w:t>Sistema Regional de Agua Potable, Manual de Operación y Mantenimiento de Planta de Potabilización de Agua</w:t>
            </w:r>
          </w:p>
          <w:p w:rsidR="00623A33" w:rsidRPr="008A40FF" w:rsidRDefault="00623A33" w:rsidP="00623A33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Código  Orgánico  de Organización  Territorial, Autonomía  y  Descentralización 2012 </w:t>
            </w:r>
          </w:p>
          <w:p w:rsidR="00623A33" w:rsidRPr="008A40FF" w:rsidRDefault="00623A33" w:rsidP="00623A33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Sección Primera. </w:t>
            </w:r>
          </w:p>
          <w:p w:rsidR="00623A33" w:rsidRPr="008A40FF" w:rsidRDefault="00623A33" w:rsidP="00623A33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Gestión Directa </w:t>
            </w:r>
          </w:p>
          <w:p w:rsidR="00623A33" w:rsidRPr="008A40FF" w:rsidRDefault="00623A33" w:rsidP="00623A33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Artículos No. 276 a 293  </w:t>
            </w:r>
          </w:p>
          <w:p w:rsidR="003F16C4" w:rsidRPr="00623A33" w:rsidRDefault="006A294C" w:rsidP="00623A33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623A33">
              <w:rPr>
                <w:rFonts w:ascii="Arial" w:eastAsia="Times New Roman" w:hAnsi="Arial" w:cs="Arial"/>
                <w:b/>
                <w:color w:val="000000"/>
                <w:lang w:val="es-EC"/>
              </w:rPr>
              <w:t>Plan Nacional del Buen Vivir 2013 – 2017</w:t>
            </w:r>
          </w:p>
          <w:p w:rsidR="00623A33" w:rsidRPr="00EE1B5A" w:rsidRDefault="00623A33" w:rsidP="00623A33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5076B7" w:rsidRPr="00EE1B5A" w:rsidTr="001D4A40">
        <w:trPr>
          <w:trHeight w:val="799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FECHA DE ELABORACIÓN DE LA FICHA METODOLÓGICA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5076B7" w:rsidRPr="00EE1B5A" w:rsidRDefault="001D4A40" w:rsidP="001D4A4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06</w:t>
            </w:r>
            <w:r w:rsidR="00722FDE">
              <w:rPr>
                <w:rFonts w:ascii="Arial" w:eastAsia="Times New Roman" w:hAnsi="Arial" w:cs="Arial"/>
                <w:color w:val="000000"/>
                <w:lang w:val="es-EC"/>
              </w:rPr>
              <w:t>/</w:t>
            </w:r>
            <w:r>
              <w:rPr>
                <w:rFonts w:ascii="Arial" w:eastAsia="Times New Roman" w:hAnsi="Arial" w:cs="Arial"/>
                <w:color w:val="000000"/>
                <w:lang w:val="es-EC"/>
              </w:rPr>
              <w:t>10</w:t>
            </w:r>
            <w:r w:rsidR="00722FDE">
              <w:rPr>
                <w:rFonts w:ascii="Arial" w:eastAsia="Times New Roman" w:hAnsi="Arial" w:cs="Arial"/>
                <w:color w:val="000000"/>
                <w:lang w:val="es-EC"/>
              </w:rPr>
              <w:t>/2016</w:t>
            </w:r>
          </w:p>
        </w:tc>
      </w:tr>
      <w:tr w:rsidR="005076B7" w:rsidRPr="00EE1B5A" w:rsidTr="001D4A40">
        <w:trPr>
          <w:trHeight w:val="78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  <w:hideMark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FECHA DE LA ÚLTIMA ACTUALIZACIÓN DE LA FICHA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  <w:hideMark/>
          </w:tcPr>
          <w:p w:rsidR="005076B7" w:rsidRPr="00EE1B5A" w:rsidRDefault="001D4A40" w:rsidP="001D4A4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06/10/2016</w:t>
            </w:r>
          </w:p>
        </w:tc>
      </w:tr>
      <w:tr w:rsidR="005076B7" w:rsidRPr="00EE1B5A" w:rsidTr="001D4A40">
        <w:trPr>
          <w:trHeight w:val="617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CLASIFICADOR SECTORIAL</w:t>
            </w:r>
          </w:p>
        </w:tc>
        <w:tc>
          <w:tcPr>
            <w:tcW w:w="1734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5076B7" w:rsidRPr="00EE1B5A" w:rsidRDefault="00722FDE" w:rsidP="001D4A4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Ambiente</w:t>
            </w:r>
          </w:p>
        </w:tc>
        <w:tc>
          <w:tcPr>
            <w:tcW w:w="73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5076B7" w:rsidRPr="00EE1B5A" w:rsidRDefault="00722FDE" w:rsidP="001D4A40">
            <w:pPr>
              <w:spacing w:line="240" w:lineRule="auto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02</w:t>
            </w:r>
          </w:p>
        </w:tc>
      </w:tr>
      <w:tr w:rsidR="005076B7" w:rsidRPr="00EE1B5A" w:rsidTr="001D4A40">
        <w:trPr>
          <w:trHeight w:val="591"/>
          <w:tblCellSpacing w:w="20" w:type="dxa"/>
        </w:trPr>
        <w:tc>
          <w:tcPr>
            <w:tcW w:w="2443" w:type="pct"/>
            <w:gridSpan w:val="3"/>
            <w:shd w:val="clear" w:color="auto" w:fill="C6D9F1"/>
            <w:vAlign w:val="center"/>
          </w:tcPr>
          <w:p w:rsidR="005076B7" w:rsidRPr="00EE1B5A" w:rsidRDefault="005076B7" w:rsidP="00553787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ELABORADO POR</w:t>
            </w:r>
          </w:p>
        </w:tc>
        <w:tc>
          <w:tcPr>
            <w:tcW w:w="2492" w:type="pct"/>
            <w:gridSpan w:val="2"/>
            <w:shd w:val="clear" w:color="auto" w:fill="auto"/>
            <w:vAlign w:val="center"/>
          </w:tcPr>
          <w:p w:rsidR="005076B7" w:rsidRPr="00EE1B5A" w:rsidRDefault="00722FDE" w:rsidP="001D4A40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>Dirección de Estadísticas Agropecuarias y Ambientales – Instituto Nacional de Estadística y Censos (INEC)</w:t>
            </w:r>
          </w:p>
        </w:tc>
      </w:tr>
    </w:tbl>
    <w:p w:rsidR="00EA6EEC" w:rsidRDefault="00EA6EEC"/>
    <w:p w:rsidR="001D4A40" w:rsidRDefault="001D4A40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1D4A40" w:rsidRPr="00EA55E6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4A40" w:rsidRPr="00EA55E6" w:rsidRDefault="001D4A40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t>ANEXOS</w:t>
            </w:r>
          </w:p>
        </w:tc>
      </w:tr>
      <w:tr w:rsidR="001D4A40" w:rsidRPr="00EA55E6" w:rsidTr="00500448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4A40" w:rsidRPr="00EA55E6" w:rsidRDefault="001D4A40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t>ANEXO 1: Algoritmo de cálculo del Indicador</w:t>
            </w:r>
          </w:p>
        </w:tc>
      </w:tr>
      <w:tr w:rsidR="001D4A40" w:rsidRPr="00EA55E6" w:rsidTr="00500448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4A40" w:rsidRPr="00EA55E6" w:rsidRDefault="001D4A40" w:rsidP="00500448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lastRenderedPageBreak/>
              <w:t xml:space="preserve">SINTAXIS </w:t>
            </w:r>
          </w:p>
        </w:tc>
      </w:tr>
      <w:tr w:rsidR="001D4A40" w:rsidRPr="00EA55E6" w:rsidTr="00500448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A40" w:rsidRPr="00EA55E6" w:rsidRDefault="001D4A40" w:rsidP="00500448">
            <w:pPr>
              <w:rPr>
                <w:rFonts w:ascii="Arial" w:hAnsi="Arial" w:cs="Arial"/>
              </w:rPr>
            </w:pPr>
          </w:p>
          <w:p w:rsidR="001D4A40" w:rsidRPr="00EA55E6" w:rsidRDefault="001D4A40" w:rsidP="00500448">
            <w:pPr>
              <w:rPr>
                <w:rFonts w:ascii="Arial" w:hAnsi="Arial" w:cs="Arial"/>
                <w:lang w:val="es-EC"/>
              </w:rPr>
            </w:pPr>
          </w:p>
        </w:tc>
      </w:tr>
      <w:tr w:rsidR="001D4A40" w:rsidRPr="00EA55E6" w:rsidTr="00500448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4A40" w:rsidRPr="00EA55E6" w:rsidRDefault="001D4A40" w:rsidP="00500448">
            <w:pPr>
              <w:jc w:val="both"/>
              <w:rPr>
                <w:rFonts w:ascii="Arial" w:hAnsi="Arial" w:cs="Arial"/>
                <w:b/>
                <w:bCs/>
                <w:lang w:val="es-EC"/>
              </w:rPr>
            </w:pPr>
            <w:r w:rsidRPr="00EA55E6">
              <w:rPr>
                <w:rFonts w:ascii="Arial" w:hAnsi="Arial" w:cs="Arial"/>
                <w:b/>
                <w:bCs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4A40" w:rsidRPr="00EA55E6" w:rsidRDefault="001D4A40" w:rsidP="00500448">
            <w:pPr>
              <w:jc w:val="both"/>
              <w:rPr>
                <w:rFonts w:ascii="Arial" w:hAnsi="Arial" w:cs="Arial"/>
                <w:lang w:val="es-EC"/>
              </w:rPr>
            </w:pPr>
          </w:p>
        </w:tc>
      </w:tr>
    </w:tbl>
    <w:p w:rsidR="001D4A40" w:rsidRDefault="001D4A40"/>
    <w:sectPr w:rsidR="001D4A40" w:rsidSect="00C721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31F0"/>
    <w:multiLevelType w:val="multilevel"/>
    <w:tmpl w:val="24B8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1378D"/>
    <w:multiLevelType w:val="hybridMultilevel"/>
    <w:tmpl w:val="CD3AE2E8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C2106"/>
    <w:multiLevelType w:val="hybridMultilevel"/>
    <w:tmpl w:val="414A2872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7"/>
    <w:rsid w:val="00001084"/>
    <w:rsid w:val="00094BA9"/>
    <w:rsid w:val="00107780"/>
    <w:rsid w:val="00120BB5"/>
    <w:rsid w:val="00127377"/>
    <w:rsid w:val="00175131"/>
    <w:rsid w:val="001A4CEE"/>
    <w:rsid w:val="001B6001"/>
    <w:rsid w:val="001D4A40"/>
    <w:rsid w:val="001E5BBB"/>
    <w:rsid w:val="00215A05"/>
    <w:rsid w:val="0030013E"/>
    <w:rsid w:val="00386AF9"/>
    <w:rsid w:val="003D0ED1"/>
    <w:rsid w:val="003F16C4"/>
    <w:rsid w:val="0041674A"/>
    <w:rsid w:val="004A6B71"/>
    <w:rsid w:val="005076B7"/>
    <w:rsid w:val="00522603"/>
    <w:rsid w:val="00577970"/>
    <w:rsid w:val="005D22D1"/>
    <w:rsid w:val="005D6227"/>
    <w:rsid w:val="00623A33"/>
    <w:rsid w:val="0068432C"/>
    <w:rsid w:val="00690014"/>
    <w:rsid w:val="006A294C"/>
    <w:rsid w:val="006F5F32"/>
    <w:rsid w:val="007038BB"/>
    <w:rsid w:val="00722FDE"/>
    <w:rsid w:val="00775CED"/>
    <w:rsid w:val="0079206C"/>
    <w:rsid w:val="007A0545"/>
    <w:rsid w:val="008B7075"/>
    <w:rsid w:val="009D73A3"/>
    <w:rsid w:val="009E6F78"/>
    <w:rsid w:val="00A74631"/>
    <w:rsid w:val="00AA013F"/>
    <w:rsid w:val="00AB1A88"/>
    <w:rsid w:val="00B30962"/>
    <w:rsid w:val="00B73C45"/>
    <w:rsid w:val="00C2738A"/>
    <w:rsid w:val="00C721D7"/>
    <w:rsid w:val="00CB74FC"/>
    <w:rsid w:val="00E2082D"/>
    <w:rsid w:val="00E34646"/>
    <w:rsid w:val="00E90783"/>
    <w:rsid w:val="00EA6EEC"/>
    <w:rsid w:val="00EF539C"/>
    <w:rsid w:val="00F4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6B7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94BA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4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BA9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12737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779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79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7970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79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7970"/>
    <w:rPr>
      <w:b/>
      <w:bCs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107780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1077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6B7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94BA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4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BA9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12737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779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79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7970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79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7970"/>
    <w:rPr>
      <w:b/>
      <w:bCs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107780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107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s.wikipedia.org/wiki/Ag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0055-2E03-4928-9AB5-8F8741410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798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rncteran</dc:creator>
  <cp:lastModifiedBy>INEC Edison Villagrán</cp:lastModifiedBy>
  <cp:revision>4</cp:revision>
  <dcterms:created xsi:type="dcterms:W3CDTF">2016-10-18T03:44:00Z</dcterms:created>
  <dcterms:modified xsi:type="dcterms:W3CDTF">2016-10-27T16:06:00Z</dcterms:modified>
</cp:coreProperties>
</file>