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319"/>
        <w:gridCol w:w="1298"/>
        <w:gridCol w:w="616"/>
        <w:gridCol w:w="2915"/>
        <w:gridCol w:w="2047"/>
      </w:tblGrid>
      <w:tr w:rsidR="00FC2C5A" w:rsidRPr="00EE1B5A" w:rsidTr="00AB501E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FC2C5A" w:rsidRPr="00EE1B5A" w:rsidRDefault="00FC2C5A" w:rsidP="006623A4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FC2C5A" w:rsidRPr="00EE1B5A" w:rsidTr="00A118CB">
        <w:trPr>
          <w:trHeight w:val="612"/>
          <w:tblCellSpacing w:w="20" w:type="dxa"/>
        </w:trPr>
        <w:tc>
          <w:tcPr>
            <w:tcW w:w="1930" w:type="pct"/>
            <w:gridSpan w:val="2"/>
            <w:shd w:val="clear" w:color="auto" w:fill="C6D9F1"/>
            <w:vAlign w:val="center"/>
            <w:hideMark/>
          </w:tcPr>
          <w:p w:rsidR="00FC2C5A" w:rsidRPr="00EE1B5A" w:rsidRDefault="00FC2C5A" w:rsidP="006623A4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NOMBRE DEL INDICADOR</w:t>
            </w:r>
          </w:p>
        </w:tc>
        <w:tc>
          <w:tcPr>
            <w:tcW w:w="3004" w:type="pct"/>
            <w:gridSpan w:val="3"/>
            <w:shd w:val="clear" w:color="auto" w:fill="auto"/>
            <w:vAlign w:val="center"/>
            <w:hideMark/>
          </w:tcPr>
          <w:p w:rsidR="00FC2C5A" w:rsidRPr="00EE1B5A" w:rsidRDefault="00CC699F" w:rsidP="00F043BE">
            <w:pPr>
              <w:spacing w:before="240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CC699F">
              <w:rPr>
                <w:rFonts w:ascii="Arial" w:eastAsia="Times New Roman" w:hAnsi="Arial" w:cs="Arial"/>
                <w:b/>
                <w:color w:val="000000"/>
                <w:lang w:val="es-EC"/>
              </w:rPr>
              <w:t>Proporción de municipios que realizan procesos de tratamiento a las aguas residuales</w:t>
            </w:r>
          </w:p>
        </w:tc>
      </w:tr>
      <w:tr w:rsidR="00FC2C5A" w:rsidRPr="00EE1B5A" w:rsidTr="00A118CB">
        <w:trPr>
          <w:trHeight w:val="606"/>
          <w:tblCellSpacing w:w="20" w:type="dxa"/>
        </w:trPr>
        <w:tc>
          <w:tcPr>
            <w:tcW w:w="1930" w:type="pct"/>
            <w:gridSpan w:val="2"/>
            <w:shd w:val="clear" w:color="auto" w:fill="C6D9F1"/>
            <w:vAlign w:val="center"/>
            <w:hideMark/>
          </w:tcPr>
          <w:p w:rsidR="00FC2C5A" w:rsidRPr="00EE1B5A" w:rsidRDefault="00FC2C5A" w:rsidP="006623A4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DEFINICIÓN</w:t>
            </w:r>
          </w:p>
        </w:tc>
        <w:tc>
          <w:tcPr>
            <w:tcW w:w="3004" w:type="pct"/>
            <w:gridSpan w:val="3"/>
            <w:shd w:val="clear" w:color="auto" w:fill="auto"/>
            <w:vAlign w:val="center"/>
            <w:hideMark/>
          </w:tcPr>
          <w:p w:rsidR="00FC2C5A" w:rsidRPr="00191053" w:rsidRDefault="00FC2C5A" w:rsidP="00437B20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191053">
              <w:rPr>
                <w:rFonts w:ascii="Arial" w:eastAsia="Times New Roman" w:hAnsi="Arial" w:cs="Arial"/>
                <w:color w:val="000000"/>
                <w:lang w:val="es-EC"/>
              </w:rPr>
              <w:t xml:space="preserve">Indica el porcentaje de los </w:t>
            </w:r>
            <w:r w:rsidR="00437B20">
              <w:rPr>
                <w:rFonts w:ascii="Arial" w:eastAsia="Times New Roman" w:hAnsi="Arial" w:cs="Arial"/>
                <w:color w:val="000000"/>
                <w:lang w:val="es-EC"/>
              </w:rPr>
              <w:t>GAD Municipales</w:t>
            </w:r>
            <w:r w:rsidRPr="00191053">
              <w:rPr>
                <w:rFonts w:ascii="Arial" w:eastAsia="Times New Roman" w:hAnsi="Arial" w:cs="Arial"/>
                <w:color w:val="000000"/>
                <w:lang w:val="es-EC"/>
              </w:rPr>
              <w:t xml:space="preserve"> que </w:t>
            </w:r>
            <w:r w:rsidR="00191053" w:rsidRPr="00191053">
              <w:rPr>
                <w:rFonts w:ascii="Arial" w:eastAsia="Times New Roman" w:hAnsi="Arial" w:cs="Arial"/>
                <w:color w:val="000000"/>
                <w:lang w:val="es-EC"/>
              </w:rPr>
              <w:t>realizan procesos de tratamiento a las aguas residuales.</w:t>
            </w:r>
          </w:p>
        </w:tc>
      </w:tr>
      <w:tr w:rsidR="00FC2C5A" w:rsidRPr="00EE1B5A" w:rsidTr="00AB501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FC2C5A" w:rsidRPr="00EE1B5A" w:rsidRDefault="00FC2C5A" w:rsidP="006623A4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FÓRMULA DE CÀLCULO</w:t>
            </w:r>
          </w:p>
        </w:tc>
      </w:tr>
      <w:tr w:rsidR="00FC2C5A" w:rsidRPr="001B03C6" w:rsidTr="00AB501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FC2C5A" w:rsidRPr="00A118CB" w:rsidRDefault="00A118CB" w:rsidP="00AB501E">
            <w:pPr>
              <w:tabs>
                <w:tab w:val="left" w:pos="3452"/>
              </w:tabs>
              <w:spacing w:before="240"/>
              <w:jc w:val="both"/>
              <w:rPr>
                <w:rFonts w:ascii="Cambria Math" w:eastAsia="Times New Roman" w:hAnsi="Cambria Math" w:cs="Arial"/>
                <w:bCs/>
                <w:sz w:val="24"/>
                <w:szCs w:val="24"/>
                <w:lang w:val="es-EC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4"/>
                    <w:szCs w:val="24"/>
                    <w:lang w:val="es-EC"/>
                  </w:rPr>
                  <m:t>PPTAR=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Cs/>
                        <w:sz w:val="24"/>
                        <w:szCs w:val="24"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bCs/>
                            <w:sz w:val="24"/>
                            <w:szCs w:val="24"/>
                            <w:lang w:val="es-EC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sz w:val="24"/>
                                <w:szCs w:val="24"/>
                                <w:lang w:val="es-EC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sz w:val="24"/>
                                    <w:szCs w:val="24"/>
                                    <w:lang w:val="es-EC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sz w:val="24"/>
                                    <w:szCs w:val="24"/>
                                    <w:lang w:val="es-EC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sz w:val="24"/>
                                    <w:szCs w:val="24"/>
                                    <w:lang w:val="es-EC"/>
                                  </w:rPr>
                                  <m:t>i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="Times New Roman" w:hAnsi="Cambria Math" w:cs="Arial"/>
                                        <w:bCs/>
                                        <w:sz w:val="24"/>
                                        <w:szCs w:val="24"/>
                                        <w:lang w:val="es-EC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Arial"/>
                                        <w:sz w:val="24"/>
                                        <w:szCs w:val="24"/>
                                        <w:lang w:val="es-EC"/>
                                      </w:rPr>
                                      <m:t>t</m:t>
                                    </m:r>
                                  </m:e>
                                </m:d>
                              </m:sub>
                            </m:sSub>
                          </m:e>
                        </m:nary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sz w:val="24"/>
                                <w:szCs w:val="24"/>
                                <w:lang w:val="es-EC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24"/>
                                <w:szCs w:val="24"/>
                                <w:lang w:val="es-EC"/>
                              </w:rPr>
                              <m:t>Y</m:t>
                            </m:r>
                          </m:e>
                          <m:sub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sz w:val="24"/>
                                    <w:szCs w:val="24"/>
                                    <w:lang w:val="es-EC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sz w:val="24"/>
                                    <w:szCs w:val="24"/>
                                    <w:lang w:val="es-EC"/>
                                  </w:rPr>
                                  <m:t>t</m:t>
                                </m:r>
                              </m:e>
                            </m:d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4"/>
                    <w:szCs w:val="24"/>
                    <w:lang w:val="es-EC"/>
                  </w:rPr>
                  <m:t>*100</m:t>
                </m:r>
              </m:oMath>
            </m:oMathPara>
          </w:p>
          <w:p w:rsidR="00FC2C5A" w:rsidRPr="00A118CB" w:rsidRDefault="00FC2C5A" w:rsidP="006623A4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>Dónde:</w:t>
            </w:r>
          </w:p>
          <w:p w:rsidR="00FC2C5A" w:rsidRPr="00A118CB" w:rsidRDefault="00191053" w:rsidP="006623A4">
            <w:pPr>
              <w:jc w:val="both"/>
              <w:rPr>
                <w:rFonts w:ascii="Cambria Math" w:eastAsia="Times New Roman" w:hAnsi="Cambria Math" w:cs="Arial"/>
                <w:b/>
                <w:bCs/>
                <w:lang w:val="es-EC"/>
              </w:rPr>
            </w:pPr>
            <w:r w:rsidRPr="00A118CB">
              <w:rPr>
                <w:rFonts w:ascii="Cambria Math" w:eastAsia="Times New Roman" w:hAnsi="Cambria Math" w:cs="Arial"/>
                <w:b/>
                <w:bCs/>
                <w:lang w:val="es-EC"/>
              </w:rPr>
              <w:t>PPTAR</w:t>
            </w:r>
            <w:r w:rsidR="00FC2C5A" w:rsidRPr="00A118CB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=  </w:t>
            </w:r>
            <w:r w:rsidR="00F043BE" w:rsidRPr="00A118CB">
              <w:rPr>
                <w:rFonts w:ascii="Cambria Math" w:eastAsia="Times New Roman" w:hAnsi="Cambria Math" w:cs="Arial"/>
                <w:b/>
                <w:bCs/>
                <w:lang w:val="es-EC"/>
              </w:rPr>
              <w:t>Proporción de GAD</w:t>
            </w:r>
            <w:r w:rsidRPr="00A118CB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Municipales que realizan procesos de tratamiento a las aguas </w:t>
            </w:r>
            <w:r w:rsidR="004A4D83" w:rsidRPr="00A118CB">
              <w:rPr>
                <w:rFonts w:ascii="Cambria Math" w:eastAsia="Times New Roman" w:hAnsi="Cambria Math" w:cs="Arial"/>
                <w:b/>
                <w:bCs/>
                <w:lang w:val="es-EC"/>
              </w:rPr>
              <w:t>residuales.</w:t>
            </w:r>
          </w:p>
          <w:p w:rsidR="00FC2C5A" w:rsidRPr="00A118CB" w:rsidRDefault="00FC2C5A" w:rsidP="006623A4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>X</w:t>
            </w:r>
            <w:r w:rsidRPr="00A118CB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 xml:space="preserve"> (t)</w:t>
            </w: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 xml:space="preserve"> = </w:t>
            </w:r>
            <w:r w:rsidR="00F043BE" w:rsidRPr="00A118CB">
              <w:rPr>
                <w:rFonts w:ascii="Cambria Math" w:eastAsia="Times New Roman" w:hAnsi="Cambria Math" w:cs="Arial"/>
                <w:bCs/>
                <w:lang w:val="es-EC"/>
              </w:rPr>
              <w:t>GAD</w:t>
            </w: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 xml:space="preserve"> Municipales que </w:t>
            </w:r>
            <w:r w:rsidR="00A84E7F" w:rsidRPr="00A118CB">
              <w:rPr>
                <w:rFonts w:ascii="Cambria Math" w:eastAsia="Times New Roman" w:hAnsi="Cambria Math" w:cs="Arial"/>
                <w:bCs/>
                <w:lang w:val="es-EC"/>
              </w:rPr>
              <w:t xml:space="preserve">realizan </w:t>
            </w:r>
            <w:r w:rsidR="00D431FF" w:rsidRPr="00A118CB">
              <w:rPr>
                <w:rFonts w:ascii="Cambria Math" w:eastAsia="Times New Roman" w:hAnsi="Cambria Math" w:cs="Arial"/>
                <w:bCs/>
                <w:lang w:val="es-EC"/>
              </w:rPr>
              <w:t>tratamiento a las aguas residuales,</w:t>
            </w: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 xml:space="preserve"> en el periodo t.</w:t>
            </w:r>
          </w:p>
          <w:p w:rsidR="00FC2C5A" w:rsidRPr="00F043BE" w:rsidRDefault="00FC2C5A" w:rsidP="006623A4">
            <w:pPr>
              <w:jc w:val="both"/>
              <w:rPr>
                <w:rFonts w:ascii="Arial" w:eastAsia="Times New Roman" w:hAnsi="Arial" w:cs="Arial"/>
                <w:bCs/>
                <w:i/>
                <w:lang w:val="es-EC"/>
              </w:rPr>
            </w:pP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 xml:space="preserve">Y </w:t>
            </w:r>
            <w:r w:rsidRPr="00A118CB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 xml:space="preserve">(t) </w:t>
            </w: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 xml:space="preserve">=  </w:t>
            </w:r>
            <w:r w:rsidR="00F043BE" w:rsidRPr="00A118CB">
              <w:rPr>
                <w:rFonts w:ascii="Cambria Math" w:eastAsia="Times New Roman" w:hAnsi="Cambria Math" w:cs="Arial"/>
                <w:bCs/>
                <w:lang w:val="es-EC"/>
              </w:rPr>
              <w:t>Total de GAD</w:t>
            </w:r>
            <w:r w:rsidRPr="00A118CB">
              <w:rPr>
                <w:rFonts w:ascii="Cambria Math" w:eastAsia="Times New Roman" w:hAnsi="Cambria Math" w:cs="Arial"/>
                <w:bCs/>
                <w:lang w:val="es-EC"/>
              </w:rPr>
              <w:t xml:space="preserve"> Municipales en el periodo t.</w:t>
            </w:r>
          </w:p>
        </w:tc>
      </w:tr>
      <w:tr w:rsidR="00FC2C5A" w:rsidRPr="004800C0" w:rsidTr="00AB501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DEFINICIÓN DE LAS VARIABLES RELACIONADAS</w:t>
            </w:r>
          </w:p>
        </w:tc>
      </w:tr>
      <w:tr w:rsidR="00FC2C5A" w:rsidRPr="004800C0" w:rsidTr="00AB501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FC2C5A" w:rsidRPr="004800C0" w:rsidRDefault="00FC2C5A" w:rsidP="004800C0">
            <w:pPr>
              <w:spacing w:before="24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4800C0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Gobierno Autónomo Descentralizado Municipal (GAD Municipal).- </w:t>
            </w:r>
            <w:r w:rsidRPr="004800C0">
              <w:rPr>
                <w:rFonts w:ascii="Arial" w:hAnsi="Arial" w:cs="Arial"/>
                <w:color w:val="000000"/>
                <w:lang w:val="es-EC"/>
              </w:rPr>
              <w:t>Persona jurídica de derecho público, con autonomía política, administrativa y financiera.</w:t>
            </w:r>
          </w:p>
          <w:p w:rsidR="00FC2C5A" w:rsidRPr="004800C0" w:rsidRDefault="00194527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4800C0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Cantón.- </w:t>
            </w:r>
            <w:r w:rsidR="00FC2C5A" w:rsidRPr="004800C0">
              <w:rPr>
                <w:rFonts w:ascii="Arial" w:hAnsi="Arial" w:cs="Arial"/>
                <w:color w:val="000000"/>
                <w:lang w:val="es-EC"/>
              </w:rPr>
              <w:t xml:space="preserve">Circunscripción territorial conformada por parroquias rurales y la cabecera cantonal con sus parroquias urbanas, señaladas en su respectiva ley de creación, y por las que se crearen con posterioridad, de conformidad con la presente ley. </w:t>
            </w:r>
          </w:p>
          <w:p w:rsidR="008422BE" w:rsidRPr="004800C0" w:rsidRDefault="008422BE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8422BE" w:rsidRPr="004800C0" w:rsidRDefault="008422BE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s-ES"/>
              </w:rPr>
            </w:pPr>
            <w:r w:rsidRPr="004800C0">
              <w:rPr>
                <w:rFonts w:ascii="Arial" w:hAnsi="Arial" w:cs="Arial"/>
                <w:b/>
                <w:color w:val="000000"/>
                <w:lang w:val="es-EC"/>
              </w:rPr>
              <w:t>Tratamiento de Aguas Residuales.-</w:t>
            </w:r>
            <w:r w:rsidR="00DF6A15" w:rsidRPr="004800C0">
              <w:rPr>
                <w:rFonts w:ascii="Arial" w:hAnsi="Arial" w:cs="Arial"/>
                <w:b/>
                <w:color w:val="000000"/>
                <w:lang w:val="es-EC"/>
              </w:rPr>
              <w:t xml:space="preserve"> </w:t>
            </w:r>
            <w:r w:rsidR="00DF6A15" w:rsidRPr="004800C0">
              <w:rPr>
                <w:rFonts w:ascii="Arial" w:hAnsi="Arial" w:cs="Arial"/>
                <w:bCs/>
                <w:iCs/>
                <w:lang w:val="es-ES"/>
              </w:rPr>
              <w:t>Proceso a que se someten las aguas residuales para que puedan cumplir las normas ambientales u otras normas de calidad.</w:t>
            </w:r>
          </w:p>
          <w:p w:rsidR="00194527" w:rsidRPr="004800C0" w:rsidRDefault="00194527" w:rsidP="004800C0">
            <w:pPr>
              <w:pStyle w:val="Sinespaciado"/>
              <w:jc w:val="both"/>
              <w:rPr>
                <w:rFonts w:ascii="Arial" w:hAnsi="Arial" w:cs="Arial"/>
                <w:b/>
                <w:color w:val="000000"/>
                <w:lang w:val="es-EC"/>
              </w:rPr>
            </w:pPr>
          </w:p>
          <w:p w:rsidR="00194527" w:rsidRPr="004800C0" w:rsidRDefault="008422BE" w:rsidP="004800C0">
            <w:pPr>
              <w:pStyle w:val="Sinespaciado"/>
              <w:jc w:val="both"/>
              <w:rPr>
                <w:rFonts w:ascii="Arial" w:hAnsi="Arial" w:cs="Arial"/>
                <w:lang w:val="es-ES"/>
              </w:rPr>
            </w:pPr>
            <w:r w:rsidRPr="004800C0">
              <w:rPr>
                <w:rFonts w:ascii="Arial" w:hAnsi="Arial" w:cs="Arial"/>
                <w:b/>
                <w:color w:val="000000"/>
                <w:lang w:val="es-EC"/>
              </w:rPr>
              <w:t>Aguas residuales</w:t>
            </w:r>
            <w:r w:rsidR="00194527" w:rsidRPr="004800C0">
              <w:rPr>
                <w:rFonts w:ascii="Arial" w:hAnsi="Arial" w:cs="Arial"/>
                <w:b/>
                <w:color w:val="000000"/>
                <w:lang w:val="es-EC"/>
              </w:rPr>
              <w:t>.-</w:t>
            </w:r>
            <w:r w:rsidR="00FC2C5A" w:rsidRPr="004800C0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  <w:r w:rsidR="00194527" w:rsidRPr="004800C0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  <w:r w:rsidR="00194527" w:rsidRPr="004800C0">
              <w:rPr>
                <w:rFonts w:ascii="Arial" w:hAnsi="Arial" w:cs="Arial"/>
                <w:lang w:val="es-ES"/>
              </w:rPr>
              <w:t>Escorrentías o aguas de alcantarilla, que fluyen por la superficie del terreno y finalmente retorna a un curso de agua. La escorrentía puede recoger contaminantes de la atmósfera o el suelo y arrastrarlos hasta las aguas receptoras.</w:t>
            </w:r>
          </w:p>
          <w:p w:rsidR="00FC2C5A" w:rsidRPr="004800C0" w:rsidRDefault="00194527" w:rsidP="004800C0">
            <w:pPr>
              <w:spacing w:before="100" w:before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4800C0">
              <w:rPr>
                <w:rFonts w:ascii="Arial" w:eastAsia="Times New Roman" w:hAnsi="Arial" w:cs="Arial"/>
                <w:lang w:val="es-EC" w:eastAsia="es-EC"/>
              </w:rPr>
              <w:t xml:space="preserve">Las aguas residuales son la </w:t>
            </w:r>
            <w:r w:rsidR="00177D91" w:rsidRPr="004800C0">
              <w:rPr>
                <w:rFonts w:ascii="Arial" w:eastAsia="Times New Roman" w:hAnsi="Arial" w:cs="Arial"/>
                <w:lang w:val="es-EC" w:eastAsia="es-EC"/>
              </w:rPr>
              <w:t xml:space="preserve">combinación de los residuos líquidos procedentes tanto de residencias como de instituciones públicas y establecimientos industriales y comerciales a los que pueden agregarse, eventualmente, aguas subterráneas, superficiales y </w:t>
            </w:r>
            <w:r w:rsidR="00177D91" w:rsidRPr="004800C0">
              <w:rPr>
                <w:rFonts w:ascii="Arial" w:eastAsia="Times New Roman" w:hAnsi="Arial" w:cs="Arial"/>
                <w:lang w:val="es-EC" w:eastAsia="es-EC"/>
              </w:rPr>
              <w:lastRenderedPageBreak/>
              <w:t>pluviales.</w:t>
            </w:r>
          </w:p>
        </w:tc>
      </w:tr>
      <w:tr w:rsidR="00FC2C5A" w:rsidRPr="004800C0" w:rsidTr="00AB501E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METODOLOGÍA DE CÁLCULO</w:t>
            </w:r>
          </w:p>
        </w:tc>
      </w:tr>
      <w:tr w:rsidR="00FC2C5A" w:rsidRPr="004800C0" w:rsidTr="00AB501E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FC2C5A" w:rsidRPr="004800C0" w:rsidRDefault="00FC2C5A" w:rsidP="004800C0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Se calcula como el coc</w:t>
            </w:r>
            <w:r w:rsidR="00A118CB" w:rsidRPr="004800C0">
              <w:rPr>
                <w:rFonts w:ascii="Arial" w:eastAsia="Times New Roman" w:hAnsi="Arial" w:cs="Arial"/>
                <w:lang w:val="es-EC"/>
              </w:rPr>
              <w:t>iente entre el número de GAD</w:t>
            </w:r>
            <w:r w:rsidRPr="004800C0">
              <w:rPr>
                <w:rFonts w:ascii="Arial" w:eastAsia="Times New Roman" w:hAnsi="Arial" w:cs="Arial"/>
                <w:lang w:val="es-EC"/>
              </w:rPr>
              <w:t xml:space="preserve"> Municipales que </w:t>
            </w:r>
            <w:r w:rsidR="004A4D83" w:rsidRPr="004800C0">
              <w:rPr>
                <w:rFonts w:ascii="Arial" w:eastAsia="Times New Roman" w:hAnsi="Arial" w:cs="Arial"/>
                <w:lang w:val="es-EC"/>
              </w:rPr>
              <w:t>realizan procesos de tratamiento a las aguas residuales</w:t>
            </w:r>
            <w:r w:rsidRPr="004800C0">
              <w:rPr>
                <w:rFonts w:ascii="Arial" w:eastAsia="Times New Roman" w:hAnsi="Arial" w:cs="Arial"/>
                <w:lang w:val="es-EC"/>
              </w:rPr>
              <w:t>, en un periodo de tiempo determinado (numerador),</w:t>
            </w:r>
            <w:r w:rsidR="00A118CB" w:rsidRPr="004800C0">
              <w:rPr>
                <w:rFonts w:ascii="Arial" w:eastAsia="Times New Roman" w:hAnsi="Arial" w:cs="Arial"/>
                <w:lang w:val="es-EC"/>
              </w:rPr>
              <w:t xml:space="preserve"> dividido </w:t>
            </w:r>
            <w:r w:rsidRPr="004800C0">
              <w:rPr>
                <w:rFonts w:ascii="Arial" w:eastAsia="Times New Roman" w:hAnsi="Arial" w:cs="Arial"/>
                <w:lang w:val="es-EC"/>
              </w:rPr>
              <w:t xml:space="preserve">para el total de GAD Municipales dentro del territorio nacional, en el mismo </w:t>
            </w:r>
            <w:r w:rsidR="00A118CB" w:rsidRPr="004800C0">
              <w:rPr>
                <w:rFonts w:ascii="Arial" w:eastAsia="Times New Roman" w:hAnsi="Arial" w:cs="Arial"/>
                <w:lang w:val="es-EC"/>
              </w:rPr>
              <w:t>periodo de tiempo (denominador) y m</w:t>
            </w:r>
            <w:r w:rsidRPr="004800C0">
              <w:rPr>
                <w:rFonts w:ascii="Arial" w:eastAsia="Times New Roman" w:hAnsi="Arial" w:cs="Arial"/>
                <w:lang w:val="es-EC"/>
              </w:rPr>
              <w:t>ultiplicado por cien (100) para ser expresado como porcentaje.</w:t>
            </w:r>
          </w:p>
        </w:tc>
      </w:tr>
      <w:tr w:rsidR="00FC2C5A" w:rsidRPr="004800C0" w:rsidTr="00AB501E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jc w:val="center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LIMITACIONES TÉCNICAS</w:t>
            </w:r>
          </w:p>
        </w:tc>
      </w:tr>
      <w:tr w:rsidR="00FC2C5A" w:rsidRPr="004800C0" w:rsidTr="00AB501E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auto"/>
            <w:vAlign w:val="center"/>
          </w:tcPr>
          <w:p w:rsidR="00FC2C5A" w:rsidRPr="004800C0" w:rsidRDefault="003B5129" w:rsidP="004800C0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hAnsi="Arial" w:cs="Arial"/>
              </w:rPr>
              <w:t>Este indicador no determina la calidad del agua que es tratada</w:t>
            </w:r>
            <w:r w:rsidR="003F6D79" w:rsidRPr="004800C0">
              <w:rPr>
                <w:rFonts w:ascii="Arial" w:hAnsi="Arial" w:cs="Arial"/>
              </w:rPr>
              <w:t xml:space="preserve">, </w:t>
            </w:r>
            <w:r w:rsidR="00A118CB" w:rsidRPr="004800C0">
              <w:rPr>
                <w:rFonts w:ascii="Arial" w:hAnsi="Arial" w:cs="Arial"/>
              </w:rPr>
              <w:t xml:space="preserve">solo </w:t>
            </w:r>
            <w:r w:rsidR="00A84E7F" w:rsidRPr="004800C0">
              <w:rPr>
                <w:rFonts w:ascii="Arial" w:hAnsi="Arial" w:cs="Arial"/>
              </w:rPr>
              <w:t>determina el porcentaje de GAD</w:t>
            </w:r>
            <w:r w:rsidR="003F6D79" w:rsidRPr="004800C0">
              <w:rPr>
                <w:rFonts w:ascii="Arial" w:hAnsi="Arial" w:cs="Arial"/>
              </w:rPr>
              <w:t xml:space="preserve"> Municipales que realizan tratamientos de aguas residuales.</w:t>
            </w:r>
          </w:p>
        </w:tc>
      </w:tr>
      <w:tr w:rsidR="00FC2C5A" w:rsidRPr="004800C0" w:rsidTr="00A118CB">
        <w:trPr>
          <w:trHeight w:val="799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UNIDAD DE MEDIDA DE LAS VARIABLES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 xml:space="preserve">Porcentaje </w:t>
            </w:r>
            <w:r w:rsidR="00A118CB" w:rsidRPr="004800C0">
              <w:rPr>
                <w:rFonts w:ascii="Arial" w:eastAsia="Times New Roman" w:hAnsi="Arial" w:cs="Arial"/>
                <w:lang w:val="es-EC"/>
              </w:rPr>
              <w:t>(</w:t>
            </w:r>
            <w:r w:rsidRPr="004800C0">
              <w:rPr>
                <w:rFonts w:ascii="Arial" w:eastAsia="Times New Roman" w:hAnsi="Arial" w:cs="Arial"/>
                <w:lang w:val="es-EC"/>
              </w:rPr>
              <w:t>%</w:t>
            </w:r>
            <w:r w:rsidR="00A118CB" w:rsidRPr="004800C0">
              <w:rPr>
                <w:rFonts w:ascii="Arial" w:eastAsia="Times New Roman" w:hAnsi="Arial" w:cs="Arial"/>
                <w:lang w:val="es-EC"/>
              </w:rPr>
              <w:t>).</w:t>
            </w:r>
          </w:p>
        </w:tc>
      </w:tr>
      <w:tr w:rsidR="00FC2C5A" w:rsidRPr="004800C0" w:rsidTr="00A118CB">
        <w:trPr>
          <w:trHeight w:val="630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INTERPRETACIÓN DEL INDICADOR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FC2C5A" w:rsidRPr="004800C0" w:rsidRDefault="00FC2C5A" w:rsidP="004800C0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Se interpreta com</w:t>
            </w:r>
            <w:r w:rsidR="00F043BE" w:rsidRPr="004800C0">
              <w:rPr>
                <w:rFonts w:ascii="Arial" w:eastAsia="Times New Roman" w:hAnsi="Arial" w:cs="Arial"/>
                <w:lang w:val="es-EC"/>
              </w:rPr>
              <w:t xml:space="preserve">o el porcentaje de </w:t>
            </w:r>
            <w:r w:rsidRPr="004800C0">
              <w:rPr>
                <w:rFonts w:ascii="Arial" w:eastAsia="Times New Roman" w:hAnsi="Arial" w:cs="Arial"/>
                <w:lang w:val="es-EC"/>
              </w:rPr>
              <w:t>los GAD Municipale</w:t>
            </w:r>
            <w:r w:rsidR="004A4D83" w:rsidRPr="004800C0">
              <w:rPr>
                <w:rFonts w:ascii="Arial" w:eastAsia="Times New Roman" w:hAnsi="Arial" w:cs="Arial"/>
                <w:lang w:val="es-EC"/>
              </w:rPr>
              <w:t xml:space="preserve">s </w:t>
            </w:r>
            <w:r w:rsidR="00A84E7F" w:rsidRPr="004800C0">
              <w:rPr>
                <w:rFonts w:ascii="Arial" w:eastAsia="Times New Roman" w:hAnsi="Arial" w:cs="Arial"/>
                <w:lang w:val="es-EC"/>
              </w:rPr>
              <w:t xml:space="preserve">que realizan </w:t>
            </w:r>
            <w:r w:rsidR="004A4D83" w:rsidRPr="004800C0">
              <w:rPr>
                <w:rFonts w:ascii="Arial" w:eastAsia="Times New Roman" w:hAnsi="Arial" w:cs="Arial"/>
                <w:lang w:val="es-EC"/>
              </w:rPr>
              <w:t xml:space="preserve">tratamiento a las aguas residuales </w:t>
            </w:r>
            <w:r w:rsidRPr="004800C0">
              <w:rPr>
                <w:rFonts w:ascii="Arial" w:eastAsia="Times New Roman" w:hAnsi="Arial" w:cs="Arial"/>
                <w:lang w:val="es-EC"/>
              </w:rPr>
              <w:t>en relación al total de GAD Municipales a nivel nacional.</w:t>
            </w:r>
          </w:p>
        </w:tc>
      </w:tr>
      <w:tr w:rsidR="00FC2C5A" w:rsidRPr="004800C0" w:rsidTr="00A118CB">
        <w:trPr>
          <w:trHeight w:val="627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FUENTE DE DATOS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  <w:hideMark/>
          </w:tcPr>
          <w:p w:rsidR="00313317" w:rsidRPr="00AE2F58" w:rsidRDefault="00313317" w:rsidP="00313317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A84E7F" w:rsidRPr="004800C0" w:rsidRDefault="00313317" w:rsidP="00313317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hAnsi="Arial" w:cs="Arial"/>
                <w:color w:val="000000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FC2C5A" w:rsidRPr="004800C0" w:rsidTr="00A118CB">
        <w:trPr>
          <w:trHeight w:val="741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PERIODICIDAD DEL INDICADOR Y/O LAS VARIABLES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FC2C5A" w:rsidRPr="004800C0" w:rsidRDefault="00FC2C5A" w:rsidP="004800C0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Anual</w:t>
            </w:r>
          </w:p>
        </w:tc>
      </w:tr>
      <w:tr w:rsidR="00FC2C5A" w:rsidRPr="004800C0" w:rsidTr="00A118CB">
        <w:trPr>
          <w:trHeight w:val="513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DISPONIBILIDAD DE LOS DATOS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  <w:hideMark/>
          </w:tcPr>
          <w:p w:rsidR="00FC2C5A" w:rsidRPr="004800C0" w:rsidRDefault="00A118CB" w:rsidP="004800C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2015</w:t>
            </w:r>
          </w:p>
        </w:tc>
      </w:tr>
      <w:tr w:rsidR="00FC2C5A" w:rsidRPr="004800C0" w:rsidTr="00A118CB">
        <w:trPr>
          <w:trHeight w:val="611"/>
          <w:tblCellSpacing w:w="20" w:type="dxa"/>
        </w:trPr>
        <w:tc>
          <w:tcPr>
            <w:tcW w:w="122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NIVEL DE DESAGREGACIÓN</w:t>
            </w:r>
          </w:p>
        </w:tc>
        <w:tc>
          <w:tcPr>
            <w:tcW w:w="1004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GEOGRÁFICO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FC2C5A" w:rsidRPr="004800C0" w:rsidRDefault="00FC2C5A" w:rsidP="00313317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F043BE" w:rsidRPr="004800C0" w:rsidRDefault="00F043BE" w:rsidP="004800C0">
            <w:pPr>
              <w:pStyle w:val="Prrafodelista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Regional</w:t>
            </w:r>
          </w:p>
          <w:p w:rsidR="00FC2C5A" w:rsidRPr="004800C0" w:rsidRDefault="00FC2C5A" w:rsidP="004800C0">
            <w:pPr>
              <w:pStyle w:val="Prrafodelista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FC2C5A" w:rsidRPr="004800C0" w:rsidTr="00A118CB">
        <w:trPr>
          <w:trHeight w:val="513"/>
          <w:tblCellSpacing w:w="20" w:type="dxa"/>
        </w:trPr>
        <w:tc>
          <w:tcPr>
            <w:tcW w:w="122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004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GENERAL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FC2C5A" w:rsidRPr="004800C0" w:rsidRDefault="00AB501E" w:rsidP="004800C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color w:val="000000" w:themeColor="text1"/>
                <w:lang w:val="es-EC"/>
              </w:rPr>
              <w:t>No aplica</w:t>
            </w:r>
          </w:p>
        </w:tc>
      </w:tr>
      <w:tr w:rsidR="00FC2C5A" w:rsidRPr="004800C0" w:rsidTr="00A118CB">
        <w:trPr>
          <w:trHeight w:val="513"/>
          <w:tblCellSpacing w:w="20" w:type="dxa"/>
        </w:trPr>
        <w:tc>
          <w:tcPr>
            <w:tcW w:w="122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004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OTROS ÁMBITOS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FC2C5A" w:rsidRPr="004800C0" w:rsidRDefault="00FC2C5A" w:rsidP="004800C0">
            <w:pPr>
              <w:spacing w:before="240" w:line="240" w:lineRule="auto"/>
              <w:rPr>
                <w:rFonts w:ascii="Arial" w:eastAsia="Times New Roman" w:hAnsi="Arial" w:cs="Arial"/>
                <w:lang w:val="es-EC"/>
              </w:rPr>
            </w:pPr>
            <w:r w:rsidRPr="004800C0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FC2C5A" w:rsidRPr="004800C0" w:rsidTr="00A118CB">
        <w:trPr>
          <w:trHeight w:val="799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INFORMACIÓN GEO – REFERENCIADA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4800C0">
              <w:rPr>
                <w:rFonts w:ascii="Arial" w:eastAsia="Times New Roman" w:hAnsi="Arial" w:cs="Arial"/>
                <w:color w:val="000000"/>
                <w:lang w:val="es-EC"/>
              </w:rPr>
              <w:t>No aplica</w:t>
            </w:r>
          </w:p>
        </w:tc>
      </w:tr>
      <w:tr w:rsidR="00FC2C5A" w:rsidRPr="004800C0" w:rsidTr="00A118CB">
        <w:trPr>
          <w:trHeight w:val="970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RELACIÓN CON INSTRUMENTOS DE PLANIFICACIÓN NACIONAL E INTERNACIONAL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  <w:hideMark/>
          </w:tcPr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s-EC"/>
              </w:rPr>
            </w:pPr>
            <w:r w:rsidRPr="004800C0">
              <w:rPr>
                <w:rFonts w:ascii="Arial" w:hAnsi="Arial" w:cs="Arial"/>
                <w:b/>
                <w:bCs/>
                <w:color w:val="000000"/>
                <w:lang w:val="es-EC"/>
              </w:rPr>
              <w:t>Plan Nacional del Buen Vivir 2013-2017</w:t>
            </w: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4800C0">
              <w:rPr>
                <w:rFonts w:ascii="Arial" w:hAnsi="Arial" w:cs="Arial"/>
                <w:b/>
                <w:bCs/>
                <w:color w:val="000000"/>
                <w:lang w:val="es-EC"/>
              </w:rPr>
              <w:t>Objetivo 3</w:t>
            </w:r>
            <w:r w:rsidRPr="004800C0">
              <w:rPr>
                <w:rFonts w:ascii="Arial" w:hAnsi="Arial" w:cs="Arial"/>
                <w:i/>
                <w:iCs/>
                <w:color w:val="000000"/>
                <w:lang w:val="es-EC"/>
              </w:rPr>
              <w:t>.-</w:t>
            </w: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  Mejorar la calidad de vida de  la población. </w:t>
            </w: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4800C0">
              <w:rPr>
                <w:rFonts w:ascii="Arial" w:hAnsi="Arial" w:cs="Arial"/>
                <w:i/>
                <w:iCs/>
                <w:color w:val="000000"/>
                <w:lang w:val="es-EC"/>
              </w:rPr>
              <w:t>Política 3.10.-</w:t>
            </w: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 Garantizar el acceso universal, permanente, sostenible y con calidad a agua segura y a servicios básicos de saneamiento, con pertinencia territorial, ambiental, social y cultural. </w:t>
            </w: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4800C0">
              <w:rPr>
                <w:rFonts w:ascii="Arial" w:hAnsi="Arial" w:cs="Arial"/>
                <w:i/>
                <w:iCs/>
                <w:color w:val="000000"/>
                <w:lang w:val="es-EC"/>
              </w:rPr>
              <w:t xml:space="preserve">Literal a.- </w:t>
            </w: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Generar incentivos que permitan a los distintos niveles de gobierno ampliar la dotación de instalaciones y equipamientos suficientes y eficientes, para la prestación oportuna de servicios de agua y saneamiento, con criterios de sustentabilidad y salubridad.  </w:t>
            </w: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4800C0">
              <w:rPr>
                <w:rFonts w:ascii="Arial" w:hAnsi="Arial" w:cs="Arial"/>
                <w:i/>
                <w:color w:val="000000"/>
                <w:lang w:val="es-EC"/>
              </w:rPr>
              <w:t xml:space="preserve">Literal d.- </w:t>
            </w: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 Impulsar el mejoramiento de instalaciones de saneamiento en los hogares que garanticen condiciones higiénicas e impidan riesgos en la salud de la población.</w:t>
            </w:r>
          </w:p>
          <w:p w:rsidR="00FC2C5A" w:rsidRPr="004800C0" w:rsidRDefault="00FC2C5A" w:rsidP="0048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4800C0">
              <w:rPr>
                <w:rFonts w:ascii="Arial" w:hAnsi="Arial" w:cs="Arial"/>
                <w:color w:val="000000"/>
                <w:lang w:val="es-EC"/>
              </w:rPr>
              <w:t xml:space="preserve">  </w:t>
            </w:r>
          </w:p>
          <w:p w:rsidR="00441F03" w:rsidRPr="00AE2F58" w:rsidRDefault="00441F03" w:rsidP="00441F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AE2F58">
              <w:rPr>
                <w:rFonts w:ascii="Arial" w:hAnsi="Arial" w:cs="Arial"/>
                <w:b/>
                <w:i/>
                <w:color w:val="000000"/>
              </w:rPr>
              <w:t>Objetivos de Desarrollo Sostenible</w:t>
            </w:r>
          </w:p>
          <w:p w:rsidR="00441F03" w:rsidRPr="00AE2F58" w:rsidRDefault="00441F03" w:rsidP="00441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AE2F58">
              <w:rPr>
                <w:rFonts w:ascii="Arial" w:hAnsi="Arial" w:cs="Arial"/>
                <w:color w:val="000000"/>
              </w:rPr>
              <w:t xml:space="preserve">Objetivo 6.- Agua Limpia y Saneamiento: </w:t>
            </w:r>
            <w:r w:rsidRPr="00AE2F58">
              <w:rPr>
                <w:rFonts w:ascii="Arial" w:hAnsi="Arial" w:cs="Arial"/>
                <w:bCs/>
                <w:shd w:val="clear" w:color="auto" w:fill="FFFFFF"/>
              </w:rPr>
              <w:t>Garantizar la disponibilidad de</w:t>
            </w:r>
            <w:r w:rsidRPr="00AE2F58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844E89">
              <w:rPr>
                <w:rFonts w:ascii="Arial" w:hAnsi="Arial" w:cs="Arial"/>
                <w:bCs/>
                <w:shd w:val="clear" w:color="auto" w:fill="FFFFFF"/>
              </w:rPr>
              <w:t>ag</w:t>
            </w:r>
            <w:bookmarkStart w:id="0" w:name="_GoBack"/>
            <w:bookmarkEnd w:id="0"/>
            <w:r w:rsidRPr="00844E89">
              <w:rPr>
                <w:rFonts w:ascii="Arial" w:hAnsi="Arial" w:cs="Arial"/>
                <w:bCs/>
                <w:shd w:val="clear" w:color="auto" w:fill="FFFFFF"/>
              </w:rPr>
              <w:t>ua</w:t>
            </w:r>
            <w:r w:rsidRPr="00AE2F58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AE2F58">
              <w:rPr>
                <w:rFonts w:ascii="Arial" w:hAnsi="Arial" w:cs="Arial"/>
                <w:bCs/>
                <w:shd w:val="clear" w:color="auto" w:fill="FFFFFF"/>
              </w:rPr>
              <w:t>y su gestión sostenible y el saneamiento para todos.</w:t>
            </w:r>
          </w:p>
          <w:p w:rsidR="00441F03" w:rsidRPr="00E22E18" w:rsidRDefault="00441F03" w:rsidP="00441F03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UtopiaStd-Regular" w:hAnsi="Arial" w:cs="Arial"/>
                <w:lang w:val="es-EC"/>
              </w:rPr>
            </w:pPr>
            <w:r w:rsidRPr="00E22E18">
              <w:rPr>
                <w:rFonts w:ascii="Arial" w:eastAsia="Times New Roman" w:hAnsi="Arial" w:cs="Arial"/>
                <w:lang w:val="es-EC" w:eastAsia="es-EC"/>
              </w:rPr>
              <w:t>Apoyar y fortalecer la participación de las comunidades locales en la mejora de la gestión del agua y el saneamiento</w:t>
            </w:r>
          </w:p>
          <w:p w:rsidR="00441F03" w:rsidRPr="00E22E18" w:rsidRDefault="00441F03" w:rsidP="00441F03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0" w:line="240" w:lineRule="auto"/>
              <w:jc w:val="both"/>
              <w:rPr>
                <w:rFonts w:ascii="Arial" w:eastAsia="UtopiaStd-Regular" w:hAnsi="Arial" w:cs="Arial"/>
                <w:lang w:val="es-EC"/>
              </w:rPr>
            </w:pPr>
            <w:r w:rsidRPr="00FE36D4">
              <w:rPr>
                <w:rFonts w:ascii="Arial" w:eastAsia="Times New Roman" w:hAnsi="Arial" w:cs="Arial"/>
                <w:lang w:val="es-EC" w:eastAsia="es-EC"/>
              </w:rPr>
              <w:t xml:space="preserve"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</w:t>
            </w:r>
            <w:r w:rsidRPr="00FE36D4">
              <w:rPr>
                <w:rFonts w:ascii="Arial" w:eastAsia="Times New Roman" w:hAnsi="Arial" w:cs="Arial"/>
                <w:lang w:val="es-EC" w:eastAsia="es-EC"/>
              </w:rPr>
              <w:lastRenderedPageBreak/>
              <w:t>escasez de agua</w:t>
            </w:r>
            <w:r>
              <w:rPr>
                <w:rFonts w:ascii="Arial" w:eastAsia="Times New Roman" w:hAnsi="Arial" w:cs="Arial"/>
                <w:lang w:val="es-EC" w:eastAsia="es-EC"/>
              </w:rPr>
              <w:t>.</w:t>
            </w:r>
          </w:p>
          <w:p w:rsidR="00441F03" w:rsidRPr="00782FD2" w:rsidRDefault="00441F03" w:rsidP="00441F03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Arial" w:hAnsi="Arial" w:cs="Arial"/>
                <w:lang w:val="es-EC"/>
              </w:rPr>
            </w:pP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Código  Orgánico  de Organización</w:t>
            </w:r>
            <w:r w:rsidRPr="00782FD2">
              <w:rPr>
                <w:rFonts w:ascii="Arial" w:hAnsi="Arial" w:cs="Arial"/>
                <w:lang w:val="es-EC"/>
              </w:rPr>
              <w:t xml:space="preserve"> </w:t>
            </w: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Territorial, Autonomía  y  Descentralización 2012</w:t>
            </w:r>
          </w:p>
          <w:p w:rsidR="00FC2C5A" w:rsidRPr="004800C0" w:rsidRDefault="00441F03" w:rsidP="00441F03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Sección Primera. Gestión Directa Artículos No. 276 a 293</w:t>
            </w:r>
          </w:p>
        </w:tc>
      </w:tr>
      <w:tr w:rsidR="00FC2C5A" w:rsidRPr="004800C0" w:rsidTr="00A118CB">
        <w:trPr>
          <w:trHeight w:val="982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441F03" w:rsidRPr="008A40FF" w:rsidRDefault="00441F03" w:rsidP="00441F03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Código  Orgánico  de Organización  Territorial, Autonomía  y  Descentralización 2012 </w:t>
            </w:r>
          </w:p>
          <w:p w:rsidR="00441F03" w:rsidRPr="008A40FF" w:rsidRDefault="00441F03" w:rsidP="0001533C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Sección Primera. </w:t>
            </w:r>
          </w:p>
          <w:p w:rsidR="00441F03" w:rsidRPr="008A40FF" w:rsidRDefault="00441F03" w:rsidP="0001533C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Gestión Directa </w:t>
            </w:r>
          </w:p>
          <w:p w:rsidR="00441F03" w:rsidRPr="008A40FF" w:rsidRDefault="00441F03" w:rsidP="0001533C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Artículos No. 276 a 293  </w:t>
            </w:r>
          </w:p>
          <w:p w:rsidR="00441F03" w:rsidRPr="008A40FF" w:rsidRDefault="00441F03" w:rsidP="00441F03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FC2C5A" w:rsidRPr="004800C0" w:rsidRDefault="00441F03" w:rsidP="00441F03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FC2C5A" w:rsidRPr="004800C0" w:rsidTr="00A118CB">
        <w:trPr>
          <w:trHeight w:val="799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FECHA DE ELABORACIÓN DE LA FICHA METODOLÓGICA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  <w:hideMark/>
          </w:tcPr>
          <w:p w:rsidR="00FC2C5A" w:rsidRPr="004800C0" w:rsidRDefault="006A15C1" w:rsidP="004800C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4800C0">
              <w:rPr>
                <w:rFonts w:ascii="Arial" w:eastAsia="Times New Roman" w:hAnsi="Arial" w:cs="Arial"/>
                <w:color w:val="000000"/>
                <w:lang w:val="es-EC"/>
              </w:rPr>
              <w:t>15</w:t>
            </w:r>
            <w:r w:rsidR="003B5129" w:rsidRPr="004800C0">
              <w:rPr>
                <w:rFonts w:ascii="Arial" w:eastAsia="Times New Roman" w:hAnsi="Arial" w:cs="Arial"/>
                <w:color w:val="000000"/>
                <w:lang w:val="es-EC"/>
              </w:rPr>
              <w:t>/09</w:t>
            </w:r>
            <w:r w:rsidR="00FC2C5A" w:rsidRPr="004800C0">
              <w:rPr>
                <w:rFonts w:ascii="Arial" w:eastAsia="Times New Roman" w:hAnsi="Arial" w:cs="Arial"/>
                <w:color w:val="000000"/>
                <w:lang w:val="es-EC"/>
              </w:rPr>
              <w:t>/2016</w:t>
            </w:r>
          </w:p>
        </w:tc>
      </w:tr>
      <w:tr w:rsidR="00FC2C5A" w:rsidRPr="004800C0" w:rsidTr="00A118CB">
        <w:trPr>
          <w:trHeight w:val="781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  <w:hideMark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FECHA DE LA ÚLTIMA ACTUALIZACIÓN DE LA FICHA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  <w:hideMark/>
          </w:tcPr>
          <w:p w:rsidR="00FC2C5A" w:rsidRPr="004800C0" w:rsidRDefault="004B5F33" w:rsidP="004800C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4800C0">
              <w:rPr>
                <w:rFonts w:ascii="Arial" w:eastAsia="Times New Roman" w:hAnsi="Arial" w:cs="Arial"/>
                <w:color w:val="000000"/>
                <w:lang w:val="es-EC"/>
              </w:rPr>
              <w:t>15/09/2016</w:t>
            </w:r>
          </w:p>
        </w:tc>
      </w:tr>
      <w:tr w:rsidR="00FC2C5A" w:rsidRPr="004800C0" w:rsidTr="00A118CB">
        <w:trPr>
          <w:trHeight w:val="617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CLASIFICADOR SECTORIAL</w:t>
            </w:r>
          </w:p>
        </w:tc>
        <w:tc>
          <w:tcPr>
            <w:tcW w:w="1597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4800C0">
              <w:rPr>
                <w:rFonts w:ascii="Arial" w:eastAsia="Times New Roman" w:hAnsi="Arial" w:cs="Arial"/>
                <w:color w:val="000000"/>
                <w:lang w:val="es-EC"/>
              </w:rPr>
              <w:t>Ambiente</w:t>
            </w:r>
          </w:p>
        </w:tc>
        <w:tc>
          <w:tcPr>
            <w:tcW w:w="1062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4800C0">
              <w:rPr>
                <w:rFonts w:ascii="Arial" w:eastAsia="Times New Roman" w:hAnsi="Arial" w:cs="Arial"/>
                <w:color w:val="000000"/>
                <w:lang w:val="es-EC"/>
              </w:rPr>
              <w:t>02</w:t>
            </w:r>
          </w:p>
        </w:tc>
      </w:tr>
      <w:tr w:rsidR="00FC2C5A" w:rsidRPr="004800C0" w:rsidTr="00A118CB">
        <w:trPr>
          <w:trHeight w:val="591"/>
          <w:tblCellSpacing w:w="20" w:type="dxa"/>
        </w:trPr>
        <w:tc>
          <w:tcPr>
            <w:tcW w:w="2254" w:type="pct"/>
            <w:gridSpan w:val="3"/>
            <w:shd w:val="clear" w:color="auto" w:fill="C6D9F1"/>
            <w:vAlign w:val="center"/>
          </w:tcPr>
          <w:p w:rsidR="00FC2C5A" w:rsidRPr="004800C0" w:rsidRDefault="00FC2C5A" w:rsidP="004800C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800C0">
              <w:rPr>
                <w:rFonts w:ascii="Arial" w:eastAsia="Times New Roman" w:hAnsi="Arial" w:cs="Arial"/>
                <w:b/>
                <w:bCs/>
                <w:lang w:val="es-EC"/>
              </w:rPr>
              <w:t>ELABORADO POR</w:t>
            </w:r>
          </w:p>
        </w:tc>
        <w:tc>
          <w:tcPr>
            <w:tcW w:w="2680" w:type="pct"/>
            <w:gridSpan w:val="2"/>
            <w:shd w:val="clear" w:color="auto" w:fill="auto"/>
            <w:vAlign w:val="center"/>
          </w:tcPr>
          <w:p w:rsidR="00FC2C5A" w:rsidRPr="004800C0" w:rsidRDefault="00FC2C5A" w:rsidP="004800C0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4800C0">
              <w:rPr>
                <w:rFonts w:ascii="Arial" w:eastAsia="Times New Roman" w:hAnsi="Arial" w:cs="Arial"/>
                <w:color w:val="000000"/>
                <w:lang w:val="es-EC"/>
              </w:rPr>
              <w:t>Dirección de Estadísticas Agropecuarias y Ambientales – Instituto Nacional de Estadística y Censos (INEC)</w:t>
            </w:r>
          </w:p>
        </w:tc>
      </w:tr>
    </w:tbl>
    <w:p w:rsidR="000F40BC" w:rsidRDefault="000F40BC"/>
    <w:p w:rsidR="00A118CB" w:rsidRDefault="00A118CB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A118CB" w:rsidRPr="00B1328E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18CB" w:rsidRPr="007B695A" w:rsidRDefault="00A118CB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lang w:val="es-EC"/>
              </w:rPr>
              <w:t>ANEXOS</w:t>
            </w:r>
          </w:p>
        </w:tc>
      </w:tr>
      <w:tr w:rsidR="00A118CB" w:rsidRPr="00B1328E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18CB" w:rsidRPr="007B695A" w:rsidRDefault="00A118CB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lang w:val="es-EC"/>
              </w:rPr>
              <w:t>ANEXO 1: Algoritmo de cálculo del Indicador</w:t>
            </w:r>
          </w:p>
        </w:tc>
      </w:tr>
      <w:tr w:rsidR="00A118CB" w:rsidRPr="00B1328E" w:rsidTr="00500448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18CB" w:rsidRPr="00B1328E" w:rsidRDefault="00A118CB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lang w:val="es-EC"/>
              </w:rPr>
              <w:t xml:space="preserve">SINTAXIS </w:t>
            </w:r>
          </w:p>
        </w:tc>
      </w:tr>
      <w:tr w:rsidR="00A118CB" w:rsidRPr="00C653EF" w:rsidTr="00500448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18CB" w:rsidRPr="00C653EF" w:rsidRDefault="00A118CB" w:rsidP="00500448">
            <w:pPr>
              <w:widowControl w:val="0"/>
              <w:autoSpaceDE w:val="0"/>
              <w:autoSpaceDN w:val="0"/>
              <w:adjustRightInd w:val="0"/>
              <w:spacing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A118CB" w:rsidRPr="00B1328E" w:rsidTr="00500448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18CB" w:rsidRPr="00B1328E" w:rsidRDefault="00A118CB" w:rsidP="00500448">
            <w:pPr>
              <w:jc w:val="both"/>
              <w:rPr>
                <w:rFonts w:ascii="Arial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lang w:val="es-EC"/>
              </w:rPr>
              <w:lastRenderedPageBreak/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18CB" w:rsidRPr="00B1328E" w:rsidRDefault="00A118CB" w:rsidP="00500448">
            <w:pPr>
              <w:jc w:val="both"/>
              <w:rPr>
                <w:rFonts w:ascii="Arial" w:hAnsi="Arial" w:cs="Arial"/>
                <w:lang w:val="es-EC"/>
              </w:rPr>
            </w:pPr>
            <w:r>
              <w:rPr>
                <w:rFonts w:ascii="Arial" w:hAnsi="Arial" w:cs="Arial"/>
                <w:lang w:val="es-EC"/>
              </w:rPr>
              <w:t>2015</w:t>
            </w:r>
          </w:p>
        </w:tc>
      </w:tr>
    </w:tbl>
    <w:p w:rsidR="00A118CB" w:rsidRDefault="00A118CB"/>
    <w:sectPr w:rsidR="00A118CB" w:rsidSect="00AB50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F0790"/>
    <w:multiLevelType w:val="hybridMultilevel"/>
    <w:tmpl w:val="7E98F252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1378D"/>
    <w:multiLevelType w:val="hybridMultilevel"/>
    <w:tmpl w:val="CD3AE2E8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2C5A"/>
    <w:rsid w:val="0001533C"/>
    <w:rsid w:val="000F40BC"/>
    <w:rsid w:val="00177D91"/>
    <w:rsid w:val="00191053"/>
    <w:rsid w:val="00194527"/>
    <w:rsid w:val="00244FD3"/>
    <w:rsid w:val="002D4662"/>
    <w:rsid w:val="00313317"/>
    <w:rsid w:val="003B5129"/>
    <w:rsid w:val="003F6D79"/>
    <w:rsid w:val="00437B20"/>
    <w:rsid w:val="00441F03"/>
    <w:rsid w:val="004800C0"/>
    <w:rsid w:val="004A4D83"/>
    <w:rsid w:val="004B5F33"/>
    <w:rsid w:val="006A15C1"/>
    <w:rsid w:val="006E38D5"/>
    <w:rsid w:val="008422BE"/>
    <w:rsid w:val="00844E89"/>
    <w:rsid w:val="008508C6"/>
    <w:rsid w:val="00937433"/>
    <w:rsid w:val="00A118CB"/>
    <w:rsid w:val="00A84E7F"/>
    <w:rsid w:val="00AB501E"/>
    <w:rsid w:val="00CC699F"/>
    <w:rsid w:val="00CE078D"/>
    <w:rsid w:val="00D431FF"/>
    <w:rsid w:val="00DF3754"/>
    <w:rsid w:val="00DF6A15"/>
    <w:rsid w:val="00F043BE"/>
    <w:rsid w:val="00FC2C5A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C5A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2C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C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2C5A"/>
    <w:rPr>
      <w:rFonts w:ascii="Tahoma" w:hAnsi="Tahoma" w:cs="Tahoma"/>
      <w:sz w:val="16"/>
      <w:szCs w:val="16"/>
      <w:lang w:val="es-ES_tradnl"/>
    </w:rPr>
  </w:style>
  <w:style w:type="paragraph" w:styleId="Sinespaciado">
    <w:name w:val="No Spacing"/>
    <w:uiPriority w:val="1"/>
    <w:qFormat/>
    <w:rsid w:val="00194527"/>
    <w:pPr>
      <w:spacing w:after="0" w:line="240" w:lineRule="auto"/>
    </w:pPr>
    <w:rPr>
      <w:lang w:val="es-ES_tradnl"/>
    </w:rPr>
  </w:style>
  <w:style w:type="character" w:styleId="Hipervnculo">
    <w:name w:val="Hyperlink"/>
    <w:basedOn w:val="Fuentedeprrafopredeter"/>
    <w:uiPriority w:val="99"/>
    <w:unhideWhenUsed/>
    <w:rsid w:val="00441F03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441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C5A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2C5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C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2C5A"/>
    <w:rPr>
      <w:rFonts w:ascii="Tahoma" w:hAnsi="Tahoma" w:cs="Tahoma"/>
      <w:sz w:val="16"/>
      <w:szCs w:val="16"/>
      <w:lang w:val="es-ES_tradnl"/>
    </w:rPr>
  </w:style>
  <w:style w:type="paragraph" w:styleId="Sinespaciado">
    <w:name w:val="No Spacing"/>
    <w:uiPriority w:val="1"/>
    <w:qFormat/>
    <w:rsid w:val="00194527"/>
    <w:pPr>
      <w:spacing w:after="0" w:line="240" w:lineRule="auto"/>
    </w:pPr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793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rncteran</dc:creator>
  <cp:lastModifiedBy>INEC Edison Villagrán</cp:lastModifiedBy>
  <cp:revision>16</cp:revision>
  <dcterms:created xsi:type="dcterms:W3CDTF">2016-09-20T14:01:00Z</dcterms:created>
  <dcterms:modified xsi:type="dcterms:W3CDTF">2016-10-06T17:47:00Z</dcterms:modified>
</cp:coreProperties>
</file>