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6"/>
        <w:gridCol w:w="982"/>
        <w:gridCol w:w="924"/>
        <w:gridCol w:w="2909"/>
        <w:gridCol w:w="2357"/>
      </w:tblGrid>
      <w:tr w:rsidR="008E57E3" w:rsidRPr="00487844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Pr="00487844" w:rsidRDefault="008E57E3" w:rsidP="000C5A9F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48784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val="es-EC"/>
              </w:rPr>
              <w:t>FICHA METODOL</w:t>
            </w:r>
            <w:r w:rsidR="000C5A9F" w:rsidRPr="0048784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val="es-EC"/>
              </w:rPr>
              <w:t>Ó</w:t>
            </w:r>
            <w:r w:rsidRPr="0048784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val="es-EC"/>
              </w:rPr>
              <w:t>GICA</w:t>
            </w:r>
          </w:p>
        </w:tc>
      </w:tr>
      <w:tr w:rsidR="00E32EA0" w:rsidRPr="00487844" w:rsidTr="002564D6">
        <w:trPr>
          <w:trHeight w:val="811"/>
          <w:tblCellSpacing w:w="20" w:type="dxa"/>
        </w:trPr>
        <w:tc>
          <w:tcPr>
            <w:tcW w:w="16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45C63" w:rsidRDefault="008E57E3" w:rsidP="00FE2742">
            <w:pPr>
              <w:spacing w:line="36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4729" w:rsidRPr="00445C63" w:rsidRDefault="00964988" w:rsidP="005841E7">
            <w:pPr>
              <w:spacing w:line="360" w:lineRule="auto"/>
              <w:jc w:val="both"/>
              <w:rPr>
                <w:rFonts w:ascii="Arial" w:eastAsiaTheme="minorEastAsia" w:hAnsi="Arial" w:cs="Arial"/>
                <w:b/>
                <w:lang w:val="es-EC" w:eastAsia="es-EC"/>
              </w:rPr>
            </w:pPr>
            <w:r w:rsidRPr="00445C6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EC" w:eastAsia="es-EC"/>
              </w:rPr>
              <w:t xml:space="preserve">Municipios que </w:t>
            </w:r>
            <w:r w:rsidR="005841E7" w:rsidRPr="00445C6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EC" w:eastAsia="es-EC"/>
              </w:rPr>
              <w:t xml:space="preserve">reutilizan </w:t>
            </w:r>
            <w:r w:rsidRPr="00445C6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EC" w:eastAsia="es-EC"/>
              </w:rPr>
              <w:t>el agua residual tratada</w:t>
            </w:r>
          </w:p>
        </w:tc>
      </w:tr>
      <w:tr w:rsidR="00E32EA0" w:rsidRPr="00487844" w:rsidTr="002564D6">
        <w:trPr>
          <w:trHeight w:val="1063"/>
          <w:tblCellSpacing w:w="20" w:type="dxa"/>
        </w:trPr>
        <w:tc>
          <w:tcPr>
            <w:tcW w:w="16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45C63" w:rsidRDefault="008E57E3" w:rsidP="00FE2742">
            <w:pPr>
              <w:spacing w:line="36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06C3" w:rsidRPr="00445C63" w:rsidRDefault="00964988" w:rsidP="005841E7">
            <w:pPr>
              <w:spacing w:line="360" w:lineRule="auto"/>
              <w:jc w:val="both"/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Se refiere a los municipios que al realizar el tratamiento de agua residual, </w:t>
            </w:r>
            <w:r w:rsidR="005841E7"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reutilizan</w:t>
            </w: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="005665B0"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el agua</w:t>
            </w: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trata</w:t>
            </w:r>
            <w:r w:rsidR="005665B0"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da</w:t>
            </w: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.</w:t>
            </w:r>
          </w:p>
        </w:tc>
      </w:tr>
      <w:tr w:rsidR="008E57E3" w:rsidRPr="00487844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87844" w:rsidRDefault="008E57E3" w:rsidP="00FE2742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lang w:val="es-EC"/>
              </w:rPr>
            </w:pPr>
            <w:r w:rsidRPr="0048784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s-EC"/>
              </w:rPr>
              <w:t xml:space="preserve">FÓRMULA </w:t>
            </w:r>
            <w:r w:rsidR="00103247" w:rsidRPr="0048784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s-EC"/>
              </w:rPr>
              <w:t>DE CÁ</w:t>
            </w:r>
            <w:r w:rsidRPr="00487844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8E57E3" w:rsidRPr="00487844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4988" w:rsidRPr="00445C63" w:rsidRDefault="00836BB8" w:rsidP="005841E7">
            <w:pPr>
              <w:spacing w:before="240" w:line="360" w:lineRule="auto"/>
              <w:jc w:val="both"/>
              <w:rPr>
                <w:rFonts w:ascii="Calibri" w:eastAsia="Times New Roman" w:hAnsi="Calibri" w:cs="Calibri"/>
                <w:bCs/>
                <w:lang w:val="es-EC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sz w:val="22"/>
                        <w:szCs w:val="22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Calibri"/>
                        <w:sz w:val="22"/>
                        <w:szCs w:val="22"/>
                        <w:lang w:val="es-EC"/>
                      </w:rPr>
                      <m:t>MRART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Calibri"/>
                        <w:sz w:val="22"/>
                        <w:szCs w:val="22"/>
                        <w:lang w:val="es-EC"/>
                      </w:rPr>
                      <m:t>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Calibri"/>
                    <w:sz w:val="22"/>
                    <w:szCs w:val="22"/>
                    <w:lang w:val="es-EC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 w:cs="Calibri"/>
                        <w:sz w:val="22"/>
                        <w:szCs w:val="22"/>
                        <w:lang w:val="es-EC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sz w:val="22"/>
                            <w:szCs w:val="22"/>
                            <w:lang w:val="es-EC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Calibri"/>
                            <w:sz w:val="22"/>
                            <w:szCs w:val="22"/>
                            <w:lang w:val="es-EC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Calibri"/>
                            <w:sz w:val="22"/>
                            <w:szCs w:val="22"/>
                            <w:lang w:val="es-EC"/>
                          </w:rPr>
                          <m:t>i(t)</m:t>
                        </m:r>
                      </m:sub>
                    </m:sSub>
                  </m:e>
                </m:nary>
              </m:oMath>
            </m:oMathPara>
          </w:p>
          <w:p w:rsidR="00964988" w:rsidRPr="00445C63" w:rsidRDefault="002564D6" w:rsidP="005841E7">
            <w:pPr>
              <w:spacing w:before="240" w:after="240" w:line="360" w:lineRule="auto"/>
              <w:rPr>
                <w:rFonts w:ascii="Cambria Math" w:eastAsia="Times New Roman" w:hAnsi="Cambria Math" w:cs="Calibri"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Cambria Math" w:eastAsia="Times New Roman" w:hAnsi="Cambria Math" w:cs="Calibri"/>
                <w:bCs/>
                <w:sz w:val="22"/>
                <w:szCs w:val="22"/>
                <w:lang w:val="es-EC"/>
              </w:rPr>
              <w:t>D</w:t>
            </w:r>
            <w:r w:rsidR="005665B0" w:rsidRPr="00445C63">
              <w:rPr>
                <w:rFonts w:ascii="Cambria Math" w:eastAsia="Times New Roman" w:hAnsi="Cambria Math" w:cs="Calibri"/>
                <w:bCs/>
                <w:sz w:val="22"/>
                <w:szCs w:val="22"/>
                <w:lang w:val="es-EC"/>
              </w:rPr>
              <w:t>o</w:t>
            </w:r>
            <w:r w:rsidRPr="00445C63">
              <w:rPr>
                <w:rFonts w:ascii="Cambria Math" w:eastAsia="Times New Roman" w:hAnsi="Cambria Math" w:cs="Calibri"/>
                <w:bCs/>
                <w:sz w:val="22"/>
                <w:szCs w:val="22"/>
                <w:lang w:val="es-EC"/>
              </w:rPr>
              <w:t>nde</w:t>
            </w:r>
            <w:r w:rsidR="00E96785" w:rsidRPr="00445C63">
              <w:rPr>
                <w:rFonts w:ascii="Cambria Math" w:eastAsia="Times New Roman" w:hAnsi="Cambria Math" w:cs="Calibri"/>
                <w:bCs/>
                <w:sz w:val="22"/>
                <w:szCs w:val="22"/>
                <w:lang w:val="es-EC"/>
              </w:rPr>
              <w:t>:</w:t>
            </w:r>
          </w:p>
          <w:p w:rsidR="00E32EA0" w:rsidRPr="00445C63" w:rsidRDefault="00836BB8" w:rsidP="00B7062F">
            <w:pPr>
              <w:spacing w:line="360" w:lineRule="auto"/>
              <w:jc w:val="both"/>
              <w:rPr>
                <w:rFonts w:ascii="Cambria Math" w:eastAsia="Times New Roman" w:hAnsi="Cambria Math" w:cs="Calibri"/>
                <w:b/>
                <w:sz w:val="22"/>
                <w:szCs w:val="22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sz w:val="22"/>
                      <w:szCs w:val="22"/>
                      <w:lang w:val="es-EC"/>
                    </w:rPr>
                    <m:t>MRART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sz w:val="22"/>
                      <w:szCs w:val="22"/>
                      <w:lang w:val="es-EC"/>
                    </w:rPr>
                    <m:t>(t)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sz w:val="22"/>
                  <w:szCs w:val="22"/>
                  <w:lang w:val="es-EC"/>
                </w:rPr>
                <m:t xml:space="preserve"> </m:t>
              </m:r>
            </m:oMath>
            <w:r w:rsidR="005841E7" w:rsidRPr="00445C63">
              <w:rPr>
                <w:rFonts w:ascii="Cambria Math" w:eastAsia="Times New Roman" w:hAnsi="Cambria Math" w:cs="Calibri"/>
                <w:b/>
                <w:sz w:val="22"/>
                <w:szCs w:val="22"/>
                <w:lang w:val="es-EC"/>
              </w:rPr>
              <w:t>= Municipios que reutilizan</w:t>
            </w:r>
            <w:r w:rsidR="00964988" w:rsidRPr="00445C63">
              <w:rPr>
                <w:rFonts w:ascii="Cambria Math" w:eastAsia="Times New Roman" w:hAnsi="Cambria Math" w:cs="Calibri"/>
                <w:b/>
                <w:sz w:val="22"/>
                <w:szCs w:val="22"/>
                <w:lang w:val="es-EC"/>
              </w:rPr>
              <w:t xml:space="preserve"> el  agua residual tratada</w:t>
            </w:r>
          </w:p>
          <w:p w:rsidR="001D0E18" w:rsidRPr="005841E7" w:rsidRDefault="00836BB8" w:rsidP="005841E7">
            <w:pPr>
              <w:spacing w:before="240" w:after="240" w:line="360" w:lineRule="auto"/>
              <w:jc w:val="both"/>
              <w:rPr>
                <w:rFonts w:ascii="Cambria Math" w:eastAsia="Times New Roman" w:hAnsi="Cambria Math" w:cs="Calibri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2"/>
                      <w:szCs w:val="22"/>
                    </w:rPr>
                    <m:t>X</m:t>
                  </m:r>
                </m:e>
                <m:sub>
                  <m:d>
                    <m:dPr>
                      <m:ctrlPr>
                        <w:rPr>
                          <w:rFonts w:ascii="Cambria Math" w:eastAsia="Times New Roman" w:hAnsi="Cambria Math" w:cs="Calibri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Calibri"/>
                          <w:sz w:val="22"/>
                          <w:szCs w:val="22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2"/>
                      <w:szCs w:val="22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2"/>
                  <w:szCs w:val="22"/>
                  <w:lang w:val="es-EC"/>
                </w:rPr>
                <m:t xml:space="preserve">GAD Municipales que reutilizan sus aguas residuales tratadas </m:t>
              </m:r>
              <m:d>
                <m:dPr>
                  <m:ctrlPr>
                    <w:rPr>
                      <w:rFonts w:ascii="Cambria Math" w:eastAsia="Times New Roman" w:hAnsi="Cambria Math" w:cs="Calibri"/>
                      <w:sz w:val="22"/>
                      <w:szCs w:val="22"/>
                      <w:lang w:val="es-EC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2"/>
                      <w:szCs w:val="22"/>
                      <w:lang w:val="es-EC"/>
                    </w:rPr>
                    <m:t>i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Calibri"/>
                  <w:sz w:val="22"/>
                  <w:szCs w:val="22"/>
                  <w:lang w:val="es-EC"/>
                </w:rPr>
                <m:t>, en un periodo t.</m:t>
              </m:r>
            </m:oMath>
            <w:r w:rsidR="002564D6" w:rsidRPr="00445C63">
              <w:rPr>
                <w:rFonts w:ascii="Cambria Math" w:eastAsia="Times New Roman" w:hAnsi="Cambria Math" w:cs="Calibri"/>
                <w:sz w:val="22"/>
                <w:szCs w:val="22"/>
                <w:lang w:val="es-EC"/>
              </w:rPr>
              <w:t xml:space="preserve"> </w:t>
            </w:r>
          </w:p>
        </w:tc>
      </w:tr>
      <w:tr w:rsidR="008E57E3" w:rsidRPr="00487844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445C63" w:rsidRDefault="008E57E3" w:rsidP="00445C63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RPr="00487844" w:rsidTr="005841E7">
        <w:trPr>
          <w:trHeight w:val="816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0E18" w:rsidRPr="00445C63" w:rsidRDefault="001D0E18" w:rsidP="00445C63">
            <w:pPr>
              <w:widowControl w:val="0"/>
              <w:autoSpaceDE w:val="0"/>
              <w:autoSpaceDN w:val="0"/>
              <w:adjustRightInd w:val="0"/>
              <w:spacing w:before="240" w:after="240"/>
              <w:ind w:right="74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45C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Gobierno Autónomo Descentralizado Municipal: </w:t>
            </w:r>
            <w:r w:rsidRPr="00445C63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 jurídica de derecho público, con autonomía política, administrativa y financiera.</w:t>
            </w:r>
          </w:p>
          <w:p w:rsidR="001D0E18" w:rsidRPr="00445C63" w:rsidRDefault="001D0E18" w:rsidP="00445C63">
            <w:pPr>
              <w:widowControl w:val="0"/>
              <w:autoSpaceDE w:val="0"/>
              <w:autoSpaceDN w:val="0"/>
              <w:adjustRightInd w:val="0"/>
              <w:spacing w:before="240" w:after="240"/>
              <w:ind w:right="7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5C6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Cantón: </w:t>
            </w:r>
            <w:r w:rsidRPr="00445C63">
              <w:rPr>
                <w:rFonts w:ascii="Arial" w:hAnsi="Arial" w:cs="Arial"/>
                <w:color w:val="000000" w:themeColor="text1"/>
                <w:sz w:val="22"/>
                <w:szCs w:val="22"/>
              </w:rPr>
              <w:t>Circunscripción territorial conformada por parroquias rurales y la cabecera cantonal con sus parroquias urbanas, señaladas en su respectiva ley de creación, y por las que se crearen con posterioridad, de conformidad con la presente ley.</w:t>
            </w:r>
          </w:p>
          <w:p w:rsidR="002564D6" w:rsidRPr="00445C63" w:rsidRDefault="002564D6" w:rsidP="00445C6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63">
              <w:rPr>
                <w:rFonts w:ascii="Arial" w:hAnsi="Arial" w:cs="Arial"/>
                <w:b/>
                <w:sz w:val="22"/>
                <w:szCs w:val="22"/>
              </w:rPr>
              <w:t>Aguas Residuales:</w:t>
            </w:r>
            <w:r w:rsidRPr="00445C63">
              <w:rPr>
                <w:rFonts w:ascii="Arial" w:hAnsi="Arial" w:cs="Arial"/>
                <w:sz w:val="22"/>
                <w:szCs w:val="22"/>
              </w:rPr>
              <w:t xml:space="preserve"> son de  composición variada provenientes de las descargas de usos municipales, industriales, comerciales, servicios agrícolas, pecuniaria, domésticos, incluyendo fraccionamientos y en general de cualquier otro uso que haya sufrido degradación en su calidad original.</w:t>
            </w:r>
          </w:p>
          <w:p w:rsidR="008E65A3" w:rsidRPr="00445C63" w:rsidRDefault="002564D6" w:rsidP="00445C6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63">
              <w:rPr>
                <w:rFonts w:ascii="Arial" w:hAnsi="Arial" w:cs="Arial"/>
                <w:b/>
                <w:sz w:val="22"/>
                <w:szCs w:val="22"/>
              </w:rPr>
              <w:t>Tratamiento:</w:t>
            </w:r>
            <w:r w:rsidRPr="00445C63">
              <w:rPr>
                <w:rFonts w:ascii="Arial" w:hAnsi="Arial" w:cs="Arial"/>
                <w:sz w:val="22"/>
                <w:szCs w:val="22"/>
              </w:rPr>
              <w:t xml:space="preserve"> Proceso de transformación física, química o biológica para modificar sus características o aprovechar su potencial y en el cual se puede generar algo nuevo, de características diferentes.</w:t>
            </w:r>
          </w:p>
          <w:p w:rsidR="006952A0" w:rsidRDefault="005665B0" w:rsidP="00445C63">
            <w:pPr>
              <w:spacing w:before="240" w:after="240"/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</w:pPr>
            <w:r w:rsidRPr="00445C63">
              <w:rPr>
                <w:rFonts w:ascii="Arial" w:eastAsia="Times New Roman" w:hAnsi="Arial" w:cs="Arial"/>
                <w:b/>
                <w:sz w:val="22"/>
                <w:szCs w:val="22"/>
                <w:lang w:val="es-EC" w:eastAsia="es-EC"/>
              </w:rPr>
              <w:t xml:space="preserve">Aguas residuales tratadas: </w:t>
            </w:r>
            <w:r w:rsidRPr="00445C63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Aguas procesadas en plantas de tratamiento para satisfacer los requisitos de calidad en relación a la clase de cuerpo receptor a que serán descargadas</w:t>
            </w:r>
            <w:r w:rsidR="002D47F6" w:rsidRPr="00445C63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445C63" w:rsidRPr="00445C63" w:rsidRDefault="00445C63" w:rsidP="00445C63">
            <w:pPr>
              <w:spacing w:before="240" w:after="240"/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</w:pPr>
          </w:p>
        </w:tc>
      </w:tr>
      <w:tr w:rsidR="00E96785" w:rsidRPr="00487844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445C63" w:rsidRDefault="00103247" w:rsidP="00445C63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METODOLOGÍA DE CÁ</w:t>
            </w:r>
            <w:r w:rsidR="00E96785"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E96785" w:rsidRPr="00487844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1000" w:rsidRPr="00445C63" w:rsidRDefault="002564D6" w:rsidP="00445C6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63">
              <w:rPr>
                <w:rFonts w:ascii="Arial" w:hAnsi="Arial" w:cs="Arial"/>
                <w:sz w:val="22"/>
                <w:szCs w:val="22"/>
              </w:rPr>
              <w:t xml:space="preserve">Se calcula el número de municipios que </w:t>
            </w:r>
            <w:r w:rsidR="002D47F6" w:rsidRPr="00445C63">
              <w:rPr>
                <w:rFonts w:ascii="Arial" w:hAnsi="Arial" w:cs="Arial"/>
                <w:sz w:val="22"/>
                <w:szCs w:val="22"/>
              </w:rPr>
              <w:t>al realizar el</w:t>
            </w:r>
            <w:r w:rsidRPr="00445C63">
              <w:rPr>
                <w:rFonts w:ascii="Arial" w:hAnsi="Arial" w:cs="Arial"/>
                <w:sz w:val="22"/>
                <w:szCs w:val="22"/>
              </w:rPr>
              <w:t xml:space="preserve"> tratamiento </w:t>
            </w:r>
            <w:r w:rsidR="002D47F6" w:rsidRPr="00445C63">
              <w:rPr>
                <w:rFonts w:ascii="Arial" w:hAnsi="Arial" w:cs="Arial"/>
                <w:sz w:val="22"/>
                <w:szCs w:val="22"/>
              </w:rPr>
              <w:t xml:space="preserve">de aguas residuales, </w:t>
            </w:r>
            <w:r w:rsidR="005841E7" w:rsidRPr="00445C63">
              <w:rPr>
                <w:rFonts w:ascii="Arial" w:hAnsi="Arial" w:cs="Arial"/>
                <w:sz w:val="22"/>
                <w:szCs w:val="22"/>
              </w:rPr>
              <w:t xml:space="preserve">reutilizan </w:t>
            </w:r>
            <w:r w:rsidR="002D47F6" w:rsidRPr="00445C63">
              <w:rPr>
                <w:rFonts w:ascii="Arial" w:hAnsi="Arial" w:cs="Arial"/>
                <w:sz w:val="22"/>
                <w:szCs w:val="22"/>
              </w:rPr>
              <w:t xml:space="preserve">las aguas </w:t>
            </w:r>
            <w:r w:rsidRPr="00445C63">
              <w:rPr>
                <w:rFonts w:ascii="Arial" w:hAnsi="Arial" w:cs="Arial"/>
                <w:sz w:val="22"/>
                <w:szCs w:val="22"/>
              </w:rPr>
              <w:t xml:space="preserve"> residuales tratadas.</w:t>
            </w:r>
          </w:p>
        </w:tc>
      </w:tr>
      <w:tr w:rsidR="004D5A80" w:rsidRPr="00487844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445C63" w:rsidRDefault="004D5A80" w:rsidP="00445C63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LIMITACIONES TÉCNICAS</w:t>
            </w:r>
          </w:p>
        </w:tc>
      </w:tr>
      <w:tr w:rsidR="004D5A80" w:rsidRPr="00487844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33E8" w:rsidRPr="00445C63" w:rsidRDefault="002564D6" w:rsidP="00445C63">
            <w:pPr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445C63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aplica.</w:t>
            </w:r>
          </w:p>
        </w:tc>
      </w:tr>
      <w:tr w:rsidR="00E32EA0" w:rsidRPr="00487844" w:rsidTr="002564D6">
        <w:trPr>
          <w:trHeight w:val="489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445C63" w:rsidRDefault="00E96785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UNIDAD DE MEDIDA </w:t>
            </w:r>
            <w:r w:rsidR="004D5A80"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O EXPRESIÓN </w:t>
            </w: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F08" w:rsidRPr="00445C63" w:rsidRDefault="00445C63" w:rsidP="00445C63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Numero de GAD Municipales.</w:t>
            </w:r>
            <w:r w:rsidR="000C5A9F"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</w:p>
        </w:tc>
      </w:tr>
      <w:tr w:rsidR="002564D6" w:rsidRPr="00487844" w:rsidTr="002564D6">
        <w:trPr>
          <w:trHeight w:val="1063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jc w:val="both"/>
              <w:rPr>
                <w:rFonts w:ascii="Arial" w:eastAsiaTheme="minorEastAsia" w:hAnsi="Arial" w:cs="Arial"/>
                <w:sz w:val="22"/>
                <w:szCs w:val="22"/>
                <w:lang w:eastAsia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Número de  los GAD Municipales que </w:t>
            </w:r>
            <w:r w:rsidR="005841E7"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reutilizan</w:t>
            </w: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las aguas residuales tratadas</w:t>
            </w:r>
            <w:r w:rsidR="000C5A9F"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.</w:t>
            </w:r>
          </w:p>
        </w:tc>
      </w:tr>
      <w:tr w:rsidR="002564D6" w:rsidRPr="00487844" w:rsidTr="002564D6">
        <w:trPr>
          <w:trHeight w:val="528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4E3D" w:rsidRPr="00AE2F58" w:rsidRDefault="002B4E3D" w:rsidP="002B4E3D">
            <w:pPr>
              <w:spacing w:before="240"/>
              <w:jc w:val="both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2564D6" w:rsidRPr="00445C63" w:rsidRDefault="002B4E3D" w:rsidP="002B4E3D">
            <w:pPr>
              <w:spacing w:before="240" w:after="240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2564D6" w:rsidRPr="00487844" w:rsidTr="002564D6">
        <w:trPr>
          <w:trHeight w:val="590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Anual</w:t>
            </w:r>
          </w:p>
        </w:tc>
      </w:tr>
      <w:tr w:rsidR="002564D6" w:rsidRPr="00487844" w:rsidTr="002564D6">
        <w:trPr>
          <w:trHeight w:val="387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2015</w:t>
            </w:r>
          </w:p>
        </w:tc>
      </w:tr>
      <w:tr w:rsidR="002564D6" w:rsidRPr="00487844" w:rsidTr="002564D6">
        <w:trPr>
          <w:trHeight w:val="510"/>
          <w:tblCellSpacing w:w="20" w:type="dxa"/>
        </w:trPr>
        <w:tc>
          <w:tcPr>
            <w:tcW w:w="11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2564D6" w:rsidP="002B4E3D">
            <w:pPr>
              <w:pStyle w:val="Prrafodelista"/>
              <w:numPr>
                <w:ilvl w:val="0"/>
                <w:numId w:val="5"/>
              </w:numPr>
              <w:spacing w:before="240" w:line="240" w:lineRule="auto"/>
              <w:rPr>
                <w:rFonts w:ascii="Arial" w:eastAsia="Times New Roman" w:hAnsi="Arial" w:cs="Arial"/>
                <w:lang w:val="es-EC"/>
              </w:rPr>
            </w:pPr>
            <w:r w:rsidRPr="00445C63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5841E7" w:rsidRPr="00445C63" w:rsidRDefault="005841E7" w:rsidP="00445C63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445C63">
              <w:rPr>
                <w:rFonts w:ascii="Arial" w:eastAsia="Times New Roman" w:hAnsi="Arial" w:cs="Arial"/>
                <w:lang w:val="es-EC"/>
              </w:rPr>
              <w:t xml:space="preserve">Regional </w:t>
            </w:r>
          </w:p>
          <w:p w:rsidR="002564D6" w:rsidRPr="00445C63" w:rsidRDefault="002564D6" w:rsidP="00445C63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445C63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2564D6" w:rsidRPr="00487844" w:rsidTr="002564D6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</w:p>
        </w:tc>
        <w:tc>
          <w:tcPr>
            <w:tcW w:w="9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5841E7" w:rsidP="00445C63">
            <w:pPr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No aplica</w:t>
            </w:r>
          </w:p>
        </w:tc>
      </w:tr>
      <w:tr w:rsidR="002564D6" w:rsidRPr="00487844" w:rsidTr="002564D6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</w:p>
        </w:tc>
        <w:tc>
          <w:tcPr>
            <w:tcW w:w="9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No aplica</w:t>
            </w:r>
          </w:p>
        </w:tc>
      </w:tr>
      <w:tr w:rsidR="002564D6" w:rsidRPr="00487844" w:rsidTr="002564D6">
        <w:trPr>
          <w:trHeight w:val="510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No aplica</w:t>
            </w:r>
          </w:p>
        </w:tc>
      </w:tr>
      <w:tr w:rsidR="002564D6" w:rsidRPr="00487844" w:rsidTr="002564D6">
        <w:trPr>
          <w:trHeight w:val="244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RELACIÓN CON  INSTRUMENTOS DE PLANIFICACI</w:t>
            </w:r>
            <w:r w:rsidR="000C5A9F"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Ó</w:t>
            </w: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 NACIONAL O ACUERDOS, INICIATIVAS  INTERNACIONALES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="UtopiaStd-Regular" w:hAnsi="Arial" w:cs="Arial"/>
                <w:b/>
                <w:sz w:val="22"/>
                <w:szCs w:val="22"/>
                <w:lang w:val="es-EC" w:eastAsia="en-US"/>
              </w:rPr>
            </w:pPr>
            <w:r w:rsidRPr="00445C63">
              <w:rPr>
                <w:rFonts w:ascii="Arial" w:eastAsia="UtopiaStd-Regular" w:hAnsi="Arial" w:cs="Arial"/>
                <w:b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2564D6" w:rsidRPr="00445C63" w:rsidRDefault="002564D6" w:rsidP="00445C63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t xml:space="preserve">Objetivo 7: Garantizar los derechos de la </w:t>
            </w:r>
            <w:r w:rsidRPr="00445C63">
              <w:rPr>
                <w:rFonts w:ascii="Arial" w:eastAsia="Times New Roman" w:hAnsi="Arial" w:cs="Arial"/>
                <w:b/>
                <w:sz w:val="22"/>
                <w:szCs w:val="22"/>
                <w:lang w:val="es-EC"/>
              </w:rPr>
              <w:lastRenderedPageBreak/>
              <w:t>naturaleza y promover la sostenibilidad ambiental territorial y global.</w:t>
            </w:r>
          </w:p>
          <w:p w:rsidR="002564D6" w:rsidRPr="00445C63" w:rsidRDefault="002564D6" w:rsidP="00445C63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</w:pPr>
            <w:r w:rsidRPr="00445C63">
              <w:rPr>
                <w:rFonts w:ascii="Arial" w:eastAsia="UtopiaStd-Regular" w:hAnsi="Arial" w:cs="Arial"/>
                <w:b/>
                <w:sz w:val="22"/>
                <w:szCs w:val="22"/>
                <w:lang w:val="es-EC" w:eastAsia="en-US"/>
              </w:rPr>
              <w:t xml:space="preserve">Política 7.8.- </w:t>
            </w:r>
            <w:r w:rsidRPr="00445C63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>Prevenir, controlar y mitigar la contaminación ambiental en los  procesos de extracción, producción, consumo y pos consumo.</w:t>
            </w:r>
          </w:p>
          <w:p w:rsidR="002564D6" w:rsidRPr="00445C63" w:rsidRDefault="002564D6" w:rsidP="00445C63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</w:pPr>
            <w:r w:rsidRPr="00445C63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 xml:space="preserve">Literal k.- Fortalecer los mecanismos  y las capacidades institucionales nacionales y locales para prevenir y controlar la contaminación del aire, suelo y agua, así como para garantizar la reparación integral de los daños y pasivos socio ambiéntales que se generen. </w:t>
            </w:r>
          </w:p>
          <w:p w:rsidR="002564D6" w:rsidRDefault="002564D6" w:rsidP="00445C63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</w:pPr>
            <w:r w:rsidRPr="00445C63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>Literal m.- Reforzar e incentivar el tratamiento de aguas residuales de uso doméstico, industrial, minero y agrícolas, a fin de disminuir la contaminación en los sitios de descarga y de cumplir con las normas, regulaciones y estándares de calidad.</w:t>
            </w:r>
          </w:p>
          <w:p w:rsidR="00CA5071" w:rsidRPr="00AE2F58" w:rsidRDefault="00CA5071" w:rsidP="00CA50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CA5071" w:rsidRPr="00AE2F58" w:rsidRDefault="00CA5071" w:rsidP="00CA507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CA50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agu</w:t>
            </w:r>
            <w:bookmarkStart w:id="0" w:name="_GoBack"/>
            <w:bookmarkEnd w:id="0"/>
            <w:r w:rsidRPr="00CA50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CA5071" w:rsidRPr="00AE2F58" w:rsidRDefault="00CA5071" w:rsidP="00CA5071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/>
              <w:jc w:val="both"/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poner en práctica la gestión integrada de los recursos hídricos a todos los niveles, incluso mediante la cooperación transfronteriza, según proceda</w:t>
            </w:r>
          </w:p>
          <w:p w:rsidR="00CA5071" w:rsidRPr="00E22E18" w:rsidRDefault="00CA5071" w:rsidP="00CA5071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/>
              <w:jc w:val="both"/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</w:pPr>
            <w:r w:rsidRPr="00E22E1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Apoyar y fortalecer la participación de las comunidades locales en la mejora de la gestión del agua y el saneamiento</w:t>
            </w:r>
          </w:p>
          <w:p w:rsidR="00CA5071" w:rsidRPr="00E22E18" w:rsidRDefault="00CA5071" w:rsidP="00CA5071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/>
              <w:jc w:val="both"/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</w:pPr>
            <w:r w:rsidRPr="00FE36D4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  <w:r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CA5071" w:rsidRPr="00782FD2" w:rsidRDefault="00CA5071" w:rsidP="00CA50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CA5071" w:rsidRPr="00445C63" w:rsidRDefault="00CA5071" w:rsidP="00CA507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2564D6" w:rsidRPr="00487844" w:rsidTr="002564D6">
        <w:trPr>
          <w:trHeight w:val="982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REFERENCIAS BIBLIOGRÁFICAS DE LA CONSTRUCCI</w:t>
            </w:r>
            <w:r w:rsidR="00487844"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Ó</w:t>
            </w: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 DEL INDICADOR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5071" w:rsidRPr="008A40FF" w:rsidRDefault="00CA5071" w:rsidP="00CA5071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CA5071" w:rsidRPr="008A40FF" w:rsidRDefault="00CA5071" w:rsidP="00CA507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CA5071" w:rsidRPr="008A40FF" w:rsidRDefault="00CA5071" w:rsidP="00CA507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CA5071" w:rsidRPr="008A40FF" w:rsidRDefault="00CA5071" w:rsidP="00CA507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CA5071" w:rsidRPr="008A40FF" w:rsidRDefault="00CA5071" w:rsidP="00CA507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</w:p>
          <w:p w:rsidR="00CA5071" w:rsidRPr="008A40FF" w:rsidRDefault="00CA5071" w:rsidP="00CA5071">
            <w:p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2564D6" w:rsidRPr="00CA5071" w:rsidRDefault="00CA5071" w:rsidP="00CA5071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/>
              </w:rPr>
            </w:pPr>
            <w:r w:rsidRPr="008A40FF">
              <w:rPr>
                <w:rFonts w:ascii="Arial" w:hAnsi="Arial" w:cs="Arial"/>
                <w:b/>
                <w:color w:val="000000"/>
                <w:sz w:val="22"/>
                <w:szCs w:val="22"/>
                <w:lang w:val="es-EC"/>
              </w:rPr>
              <w:t>Objetivos de Desarrollo Sostenible, Agenda 2030.</w:t>
            </w:r>
            <w:r w:rsidR="002564D6" w:rsidRPr="00CA5071">
              <w:rPr>
                <w:rFonts w:ascii="Arial" w:eastAsia="UtopiaStd-Regular" w:hAnsi="Arial" w:cs="Arial"/>
                <w:lang w:val="es-EC"/>
              </w:rPr>
              <w:t xml:space="preserve"> </w:t>
            </w:r>
          </w:p>
        </w:tc>
      </w:tr>
      <w:tr w:rsidR="002564D6" w:rsidRPr="00487844" w:rsidTr="002564D6">
        <w:trPr>
          <w:trHeight w:val="799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</w:pPr>
            <w:r w:rsidRPr="00445C63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05/09/2016</w:t>
            </w:r>
          </w:p>
        </w:tc>
      </w:tr>
      <w:tr w:rsidR="002564D6" w:rsidRPr="00487844" w:rsidTr="002564D6">
        <w:trPr>
          <w:trHeight w:val="781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29/09/2016</w:t>
            </w:r>
          </w:p>
        </w:tc>
      </w:tr>
      <w:tr w:rsidR="002564D6" w:rsidRPr="00487844" w:rsidTr="002564D6">
        <w:trPr>
          <w:trHeight w:val="617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</w:pPr>
            <w:r w:rsidRPr="00445C63">
              <w:rPr>
                <w:rFonts w:ascii="Arial" w:hAnsi="Arial" w:cs="Arial"/>
                <w:sz w:val="22"/>
                <w:szCs w:val="22"/>
              </w:rPr>
              <w:t>Ambiente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2564D6" w:rsidP="00445C6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</w:pPr>
          </w:p>
        </w:tc>
      </w:tr>
      <w:tr w:rsidR="002564D6" w:rsidRPr="00487844" w:rsidTr="002564D6">
        <w:trPr>
          <w:trHeight w:val="414"/>
          <w:tblCellSpacing w:w="20" w:type="dxa"/>
        </w:trPr>
        <w:tc>
          <w:tcPr>
            <w:tcW w:w="21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2564D6" w:rsidRPr="00445C63" w:rsidRDefault="002564D6" w:rsidP="00445C6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7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64D6" w:rsidRPr="00445C63" w:rsidRDefault="002564D6" w:rsidP="00445C63">
            <w:pP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</w:pPr>
            <w:r w:rsidRPr="00445C63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725FE7" w:rsidRPr="00487844" w:rsidRDefault="00725FE7" w:rsidP="00FE2742">
      <w:pPr>
        <w:spacing w:line="360" w:lineRule="auto"/>
        <w:rPr>
          <w:rFonts w:ascii="Calibri" w:hAnsi="Calibri" w:cs="Calibri"/>
        </w:rPr>
      </w:pPr>
    </w:p>
    <w:p w:rsidR="00CE5E29" w:rsidRPr="00487844" w:rsidRDefault="00CE5E29" w:rsidP="00FE2742">
      <w:pPr>
        <w:spacing w:line="360" w:lineRule="auto"/>
        <w:rPr>
          <w:rFonts w:ascii="Calibri" w:hAnsi="Calibri" w:cs="Calibri"/>
        </w:rPr>
      </w:pPr>
    </w:p>
    <w:p w:rsidR="00CE5E29" w:rsidRPr="00487844" w:rsidRDefault="00CE5E29" w:rsidP="00FE2742">
      <w:pPr>
        <w:spacing w:line="360" w:lineRule="auto"/>
        <w:rPr>
          <w:rFonts w:ascii="Calibri" w:hAnsi="Calibri" w:cs="Calibri"/>
        </w:rPr>
      </w:pPr>
    </w:p>
    <w:p w:rsidR="00CE5E29" w:rsidRPr="00487844" w:rsidRDefault="00CE5E29" w:rsidP="00FE2742">
      <w:pPr>
        <w:spacing w:line="360" w:lineRule="auto"/>
        <w:rPr>
          <w:rFonts w:ascii="Calibri" w:hAnsi="Calibri" w:cs="Calibri"/>
        </w:rPr>
      </w:pPr>
    </w:p>
    <w:p w:rsidR="00CE5E29" w:rsidRPr="00487844" w:rsidRDefault="00CE5E29" w:rsidP="00FE2742">
      <w:pPr>
        <w:spacing w:line="360" w:lineRule="auto"/>
        <w:rPr>
          <w:rFonts w:ascii="Calibri" w:hAnsi="Calibri" w:cs="Calibri"/>
        </w:rPr>
      </w:pPr>
    </w:p>
    <w:p w:rsidR="00A6740B" w:rsidRPr="00487844" w:rsidRDefault="00A6740B" w:rsidP="00FE2742">
      <w:pPr>
        <w:spacing w:line="360" w:lineRule="auto"/>
        <w:rPr>
          <w:rFonts w:ascii="Calibri" w:hAnsi="Calibri" w:cs="Calibri"/>
        </w:rPr>
      </w:pPr>
    </w:p>
    <w:p w:rsidR="00CE5E29" w:rsidRPr="00487844" w:rsidRDefault="00CE5E29" w:rsidP="00FE2742">
      <w:pPr>
        <w:spacing w:line="360" w:lineRule="auto"/>
        <w:rPr>
          <w:rFonts w:ascii="Calibri" w:hAnsi="Calibri" w:cs="Calibri"/>
        </w:rPr>
      </w:pPr>
    </w:p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7B695A" w:rsidRPr="00EF6344" w:rsidTr="007B695A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EF6344" w:rsidRDefault="007B695A" w:rsidP="00FE274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</w:pPr>
            <w:r w:rsidRPr="00EF6344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7B695A" w:rsidRPr="00EF6344" w:rsidTr="007B695A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EF6344" w:rsidRDefault="007B695A" w:rsidP="00FE2742">
            <w:pPr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C"/>
              </w:rPr>
            </w:pPr>
            <w:r w:rsidRPr="00EF6344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7B695A" w:rsidRPr="00EF6344" w:rsidTr="007B695A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EF6344" w:rsidRDefault="007B695A" w:rsidP="00FE2742">
            <w:pPr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C"/>
              </w:rPr>
            </w:pPr>
            <w:r w:rsidRPr="00EF6344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7B695A" w:rsidRPr="00EF6344" w:rsidTr="007B695A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95A" w:rsidRPr="00EF6344" w:rsidRDefault="007B695A" w:rsidP="00FE274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2A09A6" w:rsidRPr="00EF6344" w:rsidRDefault="002A09A6" w:rsidP="00FE2742">
            <w:pPr>
              <w:spacing w:line="360" w:lineRule="auto"/>
              <w:rPr>
                <w:rFonts w:ascii="Arial" w:eastAsiaTheme="minorHAnsi" w:hAnsi="Arial" w:cs="Arial"/>
                <w:sz w:val="22"/>
                <w:szCs w:val="22"/>
                <w:lang w:val="es-EC"/>
              </w:rPr>
            </w:pPr>
          </w:p>
        </w:tc>
      </w:tr>
      <w:tr w:rsidR="007B695A" w:rsidRPr="00EF6344" w:rsidTr="007B695A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EF6344" w:rsidRDefault="007B695A" w:rsidP="00FE2742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C"/>
              </w:rPr>
            </w:pPr>
            <w:r w:rsidRPr="00EF6344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344" w:rsidRPr="00EF6344" w:rsidRDefault="00EF6344" w:rsidP="00FE2742">
            <w:pPr>
              <w:spacing w:line="36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val="es-EC"/>
              </w:rPr>
            </w:pPr>
            <w:r w:rsidRPr="00EF6344"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7B695A" w:rsidRPr="00487844" w:rsidRDefault="007B695A" w:rsidP="00FE2742">
      <w:pPr>
        <w:spacing w:line="360" w:lineRule="auto"/>
        <w:rPr>
          <w:rFonts w:ascii="Calibri" w:hAnsi="Calibri" w:cs="Calibri"/>
        </w:rPr>
      </w:pPr>
    </w:p>
    <w:p w:rsidR="00011269" w:rsidRPr="00487844" w:rsidRDefault="00011269" w:rsidP="00FE2742">
      <w:pPr>
        <w:spacing w:line="360" w:lineRule="auto"/>
        <w:rPr>
          <w:rFonts w:ascii="Calibri" w:hAnsi="Calibri" w:cs="Calibri"/>
        </w:rPr>
      </w:pPr>
    </w:p>
    <w:p w:rsidR="00011269" w:rsidRPr="00487844" w:rsidRDefault="00011269" w:rsidP="00FE2742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s-EC" w:eastAsia="es-EC"/>
        </w:rPr>
      </w:pPr>
    </w:p>
    <w:p w:rsidR="00011269" w:rsidRPr="00487844" w:rsidRDefault="00011269" w:rsidP="00FE2742">
      <w:pPr>
        <w:spacing w:line="360" w:lineRule="auto"/>
        <w:rPr>
          <w:rFonts w:ascii="Calibri" w:hAnsi="Calibri" w:cs="Calibri"/>
        </w:rPr>
      </w:pPr>
    </w:p>
    <w:p w:rsidR="00011269" w:rsidRPr="00487844" w:rsidRDefault="00011269" w:rsidP="00FE2742">
      <w:pPr>
        <w:spacing w:line="360" w:lineRule="auto"/>
        <w:rPr>
          <w:rFonts w:ascii="Calibri" w:hAnsi="Calibri" w:cs="Calibri"/>
        </w:rPr>
      </w:pPr>
    </w:p>
    <w:p w:rsidR="00011269" w:rsidRPr="00487844" w:rsidRDefault="00011269" w:rsidP="00FE2742">
      <w:pPr>
        <w:spacing w:line="360" w:lineRule="auto"/>
        <w:rPr>
          <w:rFonts w:ascii="Calibri" w:hAnsi="Calibri" w:cs="Calibri"/>
        </w:rPr>
      </w:pPr>
    </w:p>
    <w:sectPr w:rsidR="00011269" w:rsidRPr="00487844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AEF" w:rsidRDefault="00740AEF" w:rsidP="00824626">
      <w:r>
        <w:separator/>
      </w:r>
    </w:p>
  </w:endnote>
  <w:endnote w:type="continuationSeparator" w:id="0">
    <w:p w:rsidR="00740AEF" w:rsidRDefault="00740AEF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AEF" w:rsidRDefault="00740AEF" w:rsidP="00824626">
      <w:r>
        <w:separator/>
      </w:r>
    </w:p>
  </w:footnote>
  <w:footnote w:type="continuationSeparator" w:id="0">
    <w:p w:rsidR="00740AEF" w:rsidRDefault="00740AEF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31891"/>
    <w:multiLevelType w:val="hybridMultilevel"/>
    <w:tmpl w:val="3E4EBEFE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F6446"/>
    <w:multiLevelType w:val="hybridMultilevel"/>
    <w:tmpl w:val="2FB0F1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61D69"/>
    <w:multiLevelType w:val="hybridMultilevel"/>
    <w:tmpl w:val="82CAE9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A0AC8"/>
    <w:multiLevelType w:val="hybridMultilevel"/>
    <w:tmpl w:val="9CF63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B1C"/>
    <w:rsid w:val="00000F4B"/>
    <w:rsid w:val="000053D4"/>
    <w:rsid w:val="00011269"/>
    <w:rsid w:val="00027267"/>
    <w:rsid w:val="00041DB5"/>
    <w:rsid w:val="00053307"/>
    <w:rsid w:val="00056DAF"/>
    <w:rsid w:val="00063680"/>
    <w:rsid w:val="000C5A9F"/>
    <w:rsid w:val="000D072C"/>
    <w:rsid w:val="000D68B0"/>
    <w:rsid w:val="000D6F48"/>
    <w:rsid w:val="000E4D51"/>
    <w:rsid w:val="000F36A3"/>
    <w:rsid w:val="000F79EC"/>
    <w:rsid w:val="00100B6A"/>
    <w:rsid w:val="00103247"/>
    <w:rsid w:val="00112102"/>
    <w:rsid w:val="00114EDE"/>
    <w:rsid w:val="00117656"/>
    <w:rsid w:val="0014108B"/>
    <w:rsid w:val="00152907"/>
    <w:rsid w:val="00181BB4"/>
    <w:rsid w:val="0019417D"/>
    <w:rsid w:val="001A5D42"/>
    <w:rsid w:val="001B0689"/>
    <w:rsid w:val="001B426C"/>
    <w:rsid w:val="001D0E18"/>
    <w:rsid w:val="001D1B1C"/>
    <w:rsid w:val="001D6E1B"/>
    <w:rsid w:val="001F7BA8"/>
    <w:rsid w:val="0021253A"/>
    <w:rsid w:val="0022240C"/>
    <w:rsid w:val="00224C78"/>
    <w:rsid w:val="00230863"/>
    <w:rsid w:val="00242F64"/>
    <w:rsid w:val="0024512C"/>
    <w:rsid w:val="00252015"/>
    <w:rsid w:val="002564D6"/>
    <w:rsid w:val="00263A69"/>
    <w:rsid w:val="00273F7C"/>
    <w:rsid w:val="002A0803"/>
    <w:rsid w:val="002A09A6"/>
    <w:rsid w:val="002A0FB5"/>
    <w:rsid w:val="002B4E3D"/>
    <w:rsid w:val="002B4F00"/>
    <w:rsid w:val="002B63E2"/>
    <w:rsid w:val="002D47F6"/>
    <w:rsid w:val="002E0DCF"/>
    <w:rsid w:val="002F3C7C"/>
    <w:rsid w:val="00313B1F"/>
    <w:rsid w:val="00316342"/>
    <w:rsid w:val="00321705"/>
    <w:rsid w:val="00330195"/>
    <w:rsid w:val="003379D8"/>
    <w:rsid w:val="003445B5"/>
    <w:rsid w:val="003557EE"/>
    <w:rsid w:val="00371551"/>
    <w:rsid w:val="003723A6"/>
    <w:rsid w:val="00383B71"/>
    <w:rsid w:val="00384A5A"/>
    <w:rsid w:val="00387A01"/>
    <w:rsid w:val="00387FE0"/>
    <w:rsid w:val="003E517F"/>
    <w:rsid w:val="003E79AE"/>
    <w:rsid w:val="003F2C3C"/>
    <w:rsid w:val="00402A0F"/>
    <w:rsid w:val="004138EF"/>
    <w:rsid w:val="00420B4C"/>
    <w:rsid w:val="0042721E"/>
    <w:rsid w:val="00434F3D"/>
    <w:rsid w:val="0044569C"/>
    <w:rsid w:val="00445C63"/>
    <w:rsid w:val="0045570F"/>
    <w:rsid w:val="0046221F"/>
    <w:rsid w:val="00471152"/>
    <w:rsid w:val="00471886"/>
    <w:rsid w:val="00475782"/>
    <w:rsid w:val="00487844"/>
    <w:rsid w:val="004B6AEB"/>
    <w:rsid w:val="004B7BDD"/>
    <w:rsid w:val="004C0FEF"/>
    <w:rsid w:val="004D5A80"/>
    <w:rsid w:val="00501012"/>
    <w:rsid w:val="005043FA"/>
    <w:rsid w:val="00511290"/>
    <w:rsid w:val="00521064"/>
    <w:rsid w:val="00521E05"/>
    <w:rsid w:val="00523F21"/>
    <w:rsid w:val="00525317"/>
    <w:rsid w:val="00525472"/>
    <w:rsid w:val="005375EE"/>
    <w:rsid w:val="0054695E"/>
    <w:rsid w:val="005553E3"/>
    <w:rsid w:val="00561C0D"/>
    <w:rsid w:val="005665B0"/>
    <w:rsid w:val="00570E2A"/>
    <w:rsid w:val="00583C5C"/>
    <w:rsid w:val="005841E7"/>
    <w:rsid w:val="00584FEC"/>
    <w:rsid w:val="0059356C"/>
    <w:rsid w:val="00597197"/>
    <w:rsid w:val="005B2570"/>
    <w:rsid w:val="005B38B0"/>
    <w:rsid w:val="005B53F4"/>
    <w:rsid w:val="005C7CB9"/>
    <w:rsid w:val="005E0D2E"/>
    <w:rsid w:val="005E0ECB"/>
    <w:rsid w:val="005E50BD"/>
    <w:rsid w:val="005F78AA"/>
    <w:rsid w:val="00622220"/>
    <w:rsid w:val="00625F9B"/>
    <w:rsid w:val="006472D4"/>
    <w:rsid w:val="006676C7"/>
    <w:rsid w:val="0067243B"/>
    <w:rsid w:val="00676737"/>
    <w:rsid w:val="00677C91"/>
    <w:rsid w:val="00690E3C"/>
    <w:rsid w:val="006952A0"/>
    <w:rsid w:val="00695BA8"/>
    <w:rsid w:val="006B2E3D"/>
    <w:rsid w:val="006C186E"/>
    <w:rsid w:val="006C6B75"/>
    <w:rsid w:val="006D5004"/>
    <w:rsid w:val="006E0F89"/>
    <w:rsid w:val="006F70AC"/>
    <w:rsid w:val="0070448D"/>
    <w:rsid w:val="00707893"/>
    <w:rsid w:val="00717A28"/>
    <w:rsid w:val="007206D3"/>
    <w:rsid w:val="00725FE7"/>
    <w:rsid w:val="00740AEF"/>
    <w:rsid w:val="00763C15"/>
    <w:rsid w:val="007768CD"/>
    <w:rsid w:val="00776D85"/>
    <w:rsid w:val="00780CD0"/>
    <w:rsid w:val="00783111"/>
    <w:rsid w:val="007B4DAF"/>
    <w:rsid w:val="007B695A"/>
    <w:rsid w:val="007C3D5E"/>
    <w:rsid w:val="007C6C79"/>
    <w:rsid w:val="007D08CA"/>
    <w:rsid w:val="007F2A87"/>
    <w:rsid w:val="0081464E"/>
    <w:rsid w:val="00824626"/>
    <w:rsid w:val="00836BB8"/>
    <w:rsid w:val="00850232"/>
    <w:rsid w:val="0086033A"/>
    <w:rsid w:val="00867224"/>
    <w:rsid w:val="00887E1C"/>
    <w:rsid w:val="0089715E"/>
    <w:rsid w:val="008B4CDD"/>
    <w:rsid w:val="008D400F"/>
    <w:rsid w:val="008D4586"/>
    <w:rsid w:val="008E233A"/>
    <w:rsid w:val="008E57E3"/>
    <w:rsid w:val="008E65A3"/>
    <w:rsid w:val="008F2EC3"/>
    <w:rsid w:val="00906161"/>
    <w:rsid w:val="00913EFF"/>
    <w:rsid w:val="00915A4C"/>
    <w:rsid w:val="0091689C"/>
    <w:rsid w:val="00916E28"/>
    <w:rsid w:val="00927A1E"/>
    <w:rsid w:val="009332F8"/>
    <w:rsid w:val="00950DE8"/>
    <w:rsid w:val="00951E54"/>
    <w:rsid w:val="00955B61"/>
    <w:rsid w:val="00955BBF"/>
    <w:rsid w:val="00955CED"/>
    <w:rsid w:val="00964988"/>
    <w:rsid w:val="0096696A"/>
    <w:rsid w:val="00967BEB"/>
    <w:rsid w:val="00984EEE"/>
    <w:rsid w:val="00990CA8"/>
    <w:rsid w:val="009A3991"/>
    <w:rsid w:val="009A6BF0"/>
    <w:rsid w:val="009D07C6"/>
    <w:rsid w:val="009D2951"/>
    <w:rsid w:val="009E4729"/>
    <w:rsid w:val="009F05DC"/>
    <w:rsid w:val="00A060BC"/>
    <w:rsid w:val="00A072D0"/>
    <w:rsid w:val="00A1115C"/>
    <w:rsid w:val="00A259A4"/>
    <w:rsid w:val="00A33B1E"/>
    <w:rsid w:val="00A515C8"/>
    <w:rsid w:val="00A579DD"/>
    <w:rsid w:val="00A6740B"/>
    <w:rsid w:val="00A719EC"/>
    <w:rsid w:val="00A73A10"/>
    <w:rsid w:val="00A855BD"/>
    <w:rsid w:val="00A85D3E"/>
    <w:rsid w:val="00AA3379"/>
    <w:rsid w:val="00AA664A"/>
    <w:rsid w:val="00AB42F5"/>
    <w:rsid w:val="00AB459E"/>
    <w:rsid w:val="00AB5F8D"/>
    <w:rsid w:val="00AC6EDF"/>
    <w:rsid w:val="00AD6BBA"/>
    <w:rsid w:val="00AF1C86"/>
    <w:rsid w:val="00B151CA"/>
    <w:rsid w:val="00B206C3"/>
    <w:rsid w:val="00B22E28"/>
    <w:rsid w:val="00B30E7D"/>
    <w:rsid w:val="00B45F5A"/>
    <w:rsid w:val="00B54BB2"/>
    <w:rsid w:val="00B6249C"/>
    <w:rsid w:val="00B7062F"/>
    <w:rsid w:val="00B85835"/>
    <w:rsid w:val="00B9652B"/>
    <w:rsid w:val="00B97AE3"/>
    <w:rsid w:val="00BA7FFC"/>
    <w:rsid w:val="00BD761E"/>
    <w:rsid w:val="00BE3BB5"/>
    <w:rsid w:val="00C32A8F"/>
    <w:rsid w:val="00C45288"/>
    <w:rsid w:val="00C47E05"/>
    <w:rsid w:val="00C64B59"/>
    <w:rsid w:val="00C67C00"/>
    <w:rsid w:val="00C95DAD"/>
    <w:rsid w:val="00CA5071"/>
    <w:rsid w:val="00CA6C70"/>
    <w:rsid w:val="00CB02FF"/>
    <w:rsid w:val="00CC2AE8"/>
    <w:rsid w:val="00CC6D71"/>
    <w:rsid w:val="00CD0068"/>
    <w:rsid w:val="00CD4832"/>
    <w:rsid w:val="00CD515F"/>
    <w:rsid w:val="00CE5E29"/>
    <w:rsid w:val="00CF1A3C"/>
    <w:rsid w:val="00CF1EC0"/>
    <w:rsid w:val="00CF3722"/>
    <w:rsid w:val="00D0722E"/>
    <w:rsid w:val="00D17D7C"/>
    <w:rsid w:val="00D27F35"/>
    <w:rsid w:val="00D51C58"/>
    <w:rsid w:val="00D6415B"/>
    <w:rsid w:val="00D714CE"/>
    <w:rsid w:val="00D84220"/>
    <w:rsid w:val="00DA25ED"/>
    <w:rsid w:val="00DA5B30"/>
    <w:rsid w:val="00DA79E0"/>
    <w:rsid w:val="00DB1489"/>
    <w:rsid w:val="00DC0D48"/>
    <w:rsid w:val="00DC6C6E"/>
    <w:rsid w:val="00DD44D3"/>
    <w:rsid w:val="00DF37CC"/>
    <w:rsid w:val="00E05323"/>
    <w:rsid w:val="00E13097"/>
    <w:rsid w:val="00E14D41"/>
    <w:rsid w:val="00E1623F"/>
    <w:rsid w:val="00E26DBB"/>
    <w:rsid w:val="00E271C1"/>
    <w:rsid w:val="00E32EA0"/>
    <w:rsid w:val="00E34741"/>
    <w:rsid w:val="00E34DE7"/>
    <w:rsid w:val="00E36CED"/>
    <w:rsid w:val="00E43AAE"/>
    <w:rsid w:val="00E504E0"/>
    <w:rsid w:val="00E61000"/>
    <w:rsid w:val="00E71F08"/>
    <w:rsid w:val="00E74011"/>
    <w:rsid w:val="00E77235"/>
    <w:rsid w:val="00E82A1E"/>
    <w:rsid w:val="00E84335"/>
    <w:rsid w:val="00E96785"/>
    <w:rsid w:val="00EA0CBE"/>
    <w:rsid w:val="00EC44C4"/>
    <w:rsid w:val="00ED07B0"/>
    <w:rsid w:val="00EE41A6"/>
    <w:rsid w:val="00EF0C43"/>
    <w:rsid w:val="00EF6344"/>
    <w:rsid w:val="00F04B24"/>
    <w:rsid w:val="00F17640"/>
    <w:rsid w:val="00F20CEF"/>
    <w:rsid w:val="00F21934"/>
    <w:rsid w:val="00F32911"/>
    <w:rsid w:val="00F3567A"/>
    <w:rsid w:val="00F47515"/>
    <w:rsid w:val="00F6737D"/>
    <w:rsid w:val="00F7228C"/>
    <w:rsid w:val="00F85834"/>
    <w:rsid w:val="00FD447B"/>
    <w:rsid w:val="00FD624E"/>
    <w:rsid w:val="00FD6362"/>
    <w:rsid w:val="00FE2742"/>
    <w:rsid w:val="00FF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7197"/>
    <w:rPr>
      <w:color w:val="808080"/>
    </w:rPr>
  </w:style>
  <w:style w:type="paragraph" w:styleId="Revisin">
    <w:name w:val="Revision"/>
    <w:hidden/>
    <w:uiPriority w:val="99"/>
    <w:semiHidden/>
    <w:rsid w:val="00402A0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CitaHTML">
    <w:name w:val="HTML Cite"/>
    <w:basedOn w:val="Fuentedeprrafopredeter"/>
    <w:uiPriority w:val="99"/>
    <w:semiHidden/>
    <w:unhideWhenUsed/>
    <w:rsid w:val="001D0E18"/>
    <w:rPr>
      <w:i/>
      <w:iCs/>
    </w:rPr>
  </w:style>
  <w:style w:type="paragraph" w:styleId="NormalWeb">
    <w:name w:val="Normal (Web)"/>
    <w:basedOn w:val="Normal"/>
    <w:uiPriority w:val="99"/>
    <w:unhideWhenUsed/>
    <w:rsid w:val="001D0E18"/>
    <w:pPr>
      <w:spacing w:before="100" w:beforeAutospacing="1" w:after="100" w:afterAutospacing="1"/>
    </w:pPr>
    <w:rPr>
      <w:rFonts w:eastAsia="Times New Roman"/>
      <w:lang w:val="es-EC" w:eastAsia="es-EC"/>
    </w:rPr>
  </w:style>
  <w:style w:type="character" w:styleId="nfasis">
    <w:name w:val="Emphasis"/>
    <w:basedOn w:val="Fuentedeprrafopredeter"/>
    <w:uiPriority w:val="20"/>
    <w:qFormat/>
    <w:rsid w:val="00C32A8F"/>
    <w:rPr>
      <w:i/>
      <w:iCs/>
    </w:rPr>
  </w:style>
  <w:style w:type="character" w:customStyle="1" w:styleId="st">
    <w:name w:val="st"/>
    <w:basedOn w:val="Fuentedeprrafopredeter"/>
    <w:rsid w:val="00C32A8F"/>
  </w:style>
  <w:style w:type="paragraph" w:customStyle="1" w:styleId="negrita">
    <w:name w:val="negrita"/>
    <w:basedOn w:val="Normal"/>
    <w:rsid w:val="005665B0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7197"/>
    <w:rPr>
      <w:color w:val="808080"/>
    </w:rPr>
  </w:style>
  <w:style w:type="paragraph" w:styleId="Revisin">
    <w:name w:val="Revision"/>
    <w:hidden/>
    <w:uiPriority w:val="99"/>
    <w:semiHidden/>
    <w:rsid w:val="00402A0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styleId="CitaHTML">
    <w:name w:val="HTML Cite"/>
    <w:basedOn w:val="Fuentedeprrafopredeter"/>
    <w:uiPriority w:val="99"/>
    <w:semiHidden/>
    <w:unhideWhenUsed/>
    <w:rsid w:val="001D0E18"/>
    <w:rPr>
      <w:i/>
      <w:iCs/>
    </w:rPr>
  </w:style>
  <w:style w:type="paragraph" w:styleId="NormalWeb">
    <w:name w:val="Normal (Web)"/>
    <w:basedOn w:val="Normal"/>
    <w:uiPriority w:val="99"/>
    <w:unhideWhenUsed/>
    <w:rsid w:val="001D0E18"/>
    <w:pPr>
      <w:spacing w:before="100" w:beforeAutospacing="1" w:after="100" w:afterAutospacing="1"/>
    </w:pPr>
    <w:rPr>
      <w:rFonts w:eastAsia="Times New Roman"/>
      <w:lang w:val="es-EC" w:eastAsia="es-EC"/>
    </w:rPr>
  </w:style>
  <w:style w:type="character" w:styleId="nfasis">
    <w:name w:val="Emphasis"/>
    <w:basedOn w:val="Fuentedeprrafopredeter"/>
    <w:uiPriority w:val="20"/>
    <w:qFormat/>
    <w:rsid w:val="00C32A8F"/>
    <w:rPr>
      <w:i/>
      <w:iCs/>
    </w:rPr>
  </w:style>
  <w:style w:type="character" w:customStyle="1" w:styleId="st">
    <w:name w:val="st"/>
    <w:basedOn w:val="Fuentedeprrafopredeter"/>
    <w:rsid w:val="00C32A8F"/>
  </w:style>
  <w:style w:type="paragraph" w:customStyle="1" w:styleId="negrita">
    <w:name w:val="negrita"/>
    <w:basedOn w:val="Normal"/>
    <w:rsid w:val="005665B0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7EB9E-89E6-4984-85E7-1FAAF4972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</Template>
  <TotalTime>79</TotalTime>
  <Pages>5</Pages>
  <Words>742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13</cp:revision>
  <cp:lastPrinted>2014-05-15T16:58:00Z</cp:lastPrinted>
  <dcterms:created xsi:type="dcterms:W3CDTF">2016-09-30T13:14:00Z</dcterms:created>
  <dcterms:modified xsi:type="dcterms:W3CDTF">2016-10-06T17:47:00Z</dcterms:modified>
</cp:coreProperties>
</file>