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55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274"/>
        <w:gridCol w:w="945"/>
        <w:gridCol w:w="876"/>
        <w:gridCol w:w="3136"/>
        <w:gridCol w:w="2217"/>
      </w:tblGrid>
      <w:tr w:rsidR="008E57E3" w:rsidTr="004D5A80">
        <w:trPr>
          <w:trHeight w:val="851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65F91"/>
            <w:noWrap/>
            <w:vAlign w:val="center"/>
            <w:hideMark/>
          </w:tcPr>
          <w:p w:rsidR="008E57E3" w:rsidRDefault="008E57E3" w:rsidP="009112A5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lang w:val="es-EC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lang w:val="es-EC"/>
              </w:rPr>
              <w:t>FICHA METODOLÓGICA</w:t>
            </w:r>
          </w:p>
        </w:tc>
      </w:tr>
      <w:tr w:rsidR="003E3485" w:rsidTr="004D5A80">
        <w:trPr>
          <w:trHeight w:val="811"/>
          <w:tblCellSpacing w:w="20" w:type="dxa"/>
        </w:trPr>
        <w:tc>
          <w:tcPr>
            <w:tcW w:w="16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8E57E3" w:rsidRDefault="008E57E3" w:rsidP="009112A5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NOMBRE DEL INDICADOR</w:t>
            </w:r>
          </w:p>
        </w:tc>
        <w:tc>
          <w:tcPr>
            <w:tcW w:w="327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A48" w:rsidRPr="00782FD2" w:rsidRDefault="005C3D4D" w:rsidP="005328F3">
            <w:pPr>
              <w:jc w:val="both"/>
              <w:rPr>
                <w:rFonts w:ascii="Arial" w:eastAsia="Times New Roman" w:hAnsi="Arial" w:cs="Arial"/>
                <w:b/>
                <w:color w:val="FF0000"/>
                <w:sz w:val="22"/>
                <w:szCs w:val="22"/>
                <w:lang w:val="es-EC"/>
              </w:rPr>
            </w:pPr>
            <w:r w:rsidRPr="00782FD2">
              <w:rPr>
                <w:rFonts w:ascii="Arial" w:eastAsia="Times New Roman" w:hAnsi="Arial" w:cs="Arial"/>
                <w:b/>
                <w:sz w:val="22"/>
                <w:szCs w:val="22"/>
                <w:lang w:val="es-EC"/>
              </w:rPr>
              <w:t>Modelo de Gestión para la Prestación del Servicio</w:t>
            </w:r>
            <w:r w:rsidR="00263D02">
              <w:rPr>
                <w:rFonts w:ascii="Arial" w:eastAsia="Times New Roman" w:hAnsi="Arial" w:cs="Arial"/>
                <w:b/>
                <w:sz w:val="22"/>
                <w:szCs w:val="22"/>
                <w:lang w:val="es-EC"/>
              </w:rPr>
              <w:t xml:space="preserve"> de Agua </w:t>
            </w:r>
            <w:r w:rsidR="005328F3">
              <w:rPr>
                <w:rFonts w:ascii="Arial" w:eastAsia="Times New Roman" w:hAnsi="Arial" w:cs="Arial"/>
                <w:b/>
                <w:sz w:val="22"/>
                <w:szCs w:val="22"/>
                <w:lang w:val="es-EC"/>
              </w:rPr>
              <w:t>apta para el consumo humano</w:t>
            </w:r>
            <w:r w:rsidR="00263D02">
              <w:rPr>
                <w:rFonts w:ascii="Arial" w:eastAsia="Times New Roman" w:hAnsi="Arial" w:cs="Arial"/>
                <w:b/>
                <w:sz w:val="22"/>
                <w:szCs w:val="22"/>
                <w:lang w:val="es-EC"/>
              </w:rPr>
              <w:t xml:space="preserve"> y Alcantarillado </w:t>
            </w:r>
          </w:p>
        </w:tc>
      </w:tr>
      <w:tr w:rsidR="003E3485" w:rsidTr="004D5A80">
        <w:trPr>
          <w:trHeight w:val="1063"/>
          <w:tblCellSpacing w:w="20" w:type="dxa"/>
        </w:trPr>
        <w:tc>
          <w:tcPr>
            <w:tcW w:w="16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8E57E3" w:rsidRDefault="008E57E3" w:rsidP="009112A5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DEFINICIÓN</w:t>
            </w:r>
          </w:p>
        </w:tc>
        <w:tc>
          <w:tcPr>
            <w:tcW w:w="327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2E0E" w:rsidRDefault="00472E0E" w:rsidP="00472E0E">
            <w:pPr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>El Modelo de Gestión, se implementa como un sistema integral de los distintos niveles de gobiernos dentro del ámbito de sus competencias, entre estas la prestación de servicios.</w:t>
            </w:r>
          </w:p>
          <w:p w:rsidR="00472E0E" w:rsidRPr="00472E0E" w:rsidRDefault="00472E0E" w:rsidP="005328F3">
            <w:pPr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 xml:space="preserve">En la prestación de servicios de agua </w:t>
            </w:r>
            <w:r w:rsidR="005328F3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>apta para el consumo humano</w:t>
            </w:r>
            <w:r w:rsidR="00E37C65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 xml:space="preserve"> y alcantarillado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 xml:space="preserve">, </w:t>
            </w:r>
            <w:r w:rsidR="00E37C65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>deben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 xml:space="preserve"> cumplir con  t</w:t>
            </w:r>
            <w:r w:rsidR="00AA64F3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 xml:space="preserve">odas las fases, mediante organismos </w:t>
            </w:r>
            <w:r w:rsidR="00263D02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 xml:space="preserve">municipales, mancomunidades, operadores privados, etc. </w:t>
            </w:r>
          </w:p>
        </w:tc>
      </w:tr>
      <w:tr w:rsidR="008E57E3" w:rsidTr="004D5A80">
        <w:trPr>
          <w:trHeight w:val="513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8E57E3" w:rsidRDefault="008E57E3" w:rsidP="009112A5">
            <w:pPr>
              <w:jc w:val="center"/>
              <w:rPr>
                <w:rFonts w:ascii="Arial" w:eastAsia="Times New Roman" w:hAnsi="Arial" w:cs="Arial"/>
                <w:b/>
                <w:bCs/>
                <w:lang w:val="es-EC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 xml:space="preserve">FÓRMULA </w:t>
            </w:r>
            <w:r w:rsidR="00103247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DE CÁ</w:t>
            </w: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LCULO</w:t>
            </w:r>
          </w:p>
        </w:tc>
      </w:tr>
      <w:tr w:rsidR="008E57E3" w:rsidTr="00451A0F">
        <w:trPr>
          <w:trHeight w:val="513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E57E3" w:rsidRPr="00A87F38" w:rsidRDefault="008E57E3" w:rsidP="009112A5">
            <w:pPr>
              <w:jc w:val="both"/>
              <w:rPr>
                <w:rFonts w:ascii="Arial" w:eastAsia="Times New Roman" w:hAnsi="Arial" w:cs="Arial"/>
                <w:color w:val="FF0000"/>
              </w:rPr>
            </w:pPr>
          </w:p>
          <w:p w:rsidR="009A6362" w:rsidRPr="00782FD2" w:rsidRDefault="007A7B80" w:rsidP="00523F21">
            <w:pPr>
              <w:jc w:val="both"/>
              <w:rPr>
                <w:rFonts w:ascii="Cambria Math" w:eastAsia="Times New Roman" w:hAnsi="Cambria Math" w:cs="Arial"/>
                <w:sz w:val="22"/>
                <w:szCs w:val="20"/>
                <w:lang w:val="es-EC"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sz w:val="22"/>
                    <w:szCs w:val="20"/>
                    <w:lang w:val="es-EC"/>
                  </w:rPr>
                  <m:t>PMGac=</m:t>
                </m:r>
                <m:d>
                  <m:dPr>
                    <m:ctrlPr>
                      <w:rPr>
                        <w:rFonts w:ascii="Cambria Math" w:eastAsia="Times New Roman" w:hAnsi="Cambria Math" w:cs="Arial"/>
                        <w:i/>
                        <w:sz w:val="22"/>
                        <w:szCs w:val="20"/>
                        <w:lang w:val="es-EC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Times New Roman" w:hAnsi="Cambria Math" w:cs="Arial"/>
                            <w:i/>
                            <w:sz w:val="22"/>
                            <w:szCs w:val="20"/>
                            <w:lang w:val="es-EC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Arial"/>
                            <w:sz w:val="22"/>
                            <w:szCs w:val="20"/>
                            <w:lang w:val="es-EC"/>
                          </w:rPr>
                          <m:t>∑</m:t>
                        </m:r>
                        <m:sSub>
                          <m:sSubPr>
                            <m:ctrlPr>
                              <w:rPr>
                                <w:rFonts w:ascii="Cambria Math" w:eastAsia="Times New Roman" w:hAnsi="Cambria Math" w:cs="Arial"/>
                                <w:i/>
                                <w:sz w:val="22"/>
                                <w:szCs w:val="20"/>
                                <w:lang w:val="es-EC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Arial"/>
                                <w:sz w:val="22"/>
                                <w:szCs w:val="20"/>
                                <w:lang w:val="es-EC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Arial"/>
                                <w:sz w:val="22"/>
                                <w:szCs w:val="20"/>
                                <w:lang w:val="es-EC"/>
                              </w:rPr>
                              <m:t>i(t)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Times New Roman" w:hAnsi="Cambria Math" w:cs="Arial"/>
                                <w:i/>
                                <w:sz w:val="22"/>
                                <w:szCs w:val="20"/>
                                <w:lang w:val="es-EC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Arial"/>
                                <w:sz w:val="22"/>
                                <w:szCs w:val="20"/>
                                <w:lang w:val="es-EC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Arial"/>
                                <w:sz w:val="22"/>
                                <w:szCs w:val="20"/>
                                <w:lang w:val="es-EC"/>
                              </w:rPr>
                              <m:t>(t)</m:t>
                            </m:r>
                          </m:sub>
                        </m:sSub>
                      </m:den>
                    </m:f>
                  </m:e>
                </m:d>
                <m:r>
                  <w:rPr>
                    <w:rFonts w:ascii="Cambria Math" w:eastAsia="Times New Roman" w:hAnsi="Cambria Math" w:cs="Arial"/>
                    <w:sz w:val="22"/>
                    <w:szCs w:val="20"/>
                    <w:lang w:val="es-EC"/>
                  </w:rPr>
                  <m:t xml:space="preserve"> × 100</m:t>
                </m:r>
              </m:oMath>
            </m:oMathPara>
          </w:p>
          <w:p w:rsidR="009A6362" w:rsidRPr="00782FD2" w:rsidRDefault="009A6362" w:rsidP="00523F21">
            <w:pPr>
              <w:jc w:val="both"/>
              <w:rPr>
                <w:rFonts w:ascii="Cambria Math" w:eastAsia="Times New Roman" w:hAnsi="Cambria Math" w:cs="Arial"/>
                <w:color w:val="FF0000"/>
                <w:sz w:val="22"/>
                <w:szCs w:val="20"/>
                <w:lang w:val="es-EC"/>
              </w:rPr>
            </w:pPr>
          </w:p>
          <w:p w:rsidR="00CC5B27" w:rsidRPr="00E37C65" w:rsidRDefault="00CC5B27" w:rsidP="00CC5B27">
            <w:pPr>
              <w:autoSpaceDE w:val="0"/>
              <w:autoSpaceDN w:val="0"/>
              <w:adjustRightInd w:val="0"/>
              <w:rPr>
                <w:rFonts w:ascii="Cambria Math" w:eastAsiaTheme="minorHAnsi" w:hAnsi="Cambria Math"/>
                <w:lang w:val="es-EC" w:eastAsia="en-US"/>
              </w:rPr>
            </w:pPr>
            <w:r w:rsidRPr="00E37C65">
              <w:rPr>
                <w:rFonts w:ascii="Cambria Math" w:eastAsia="Times New Roman" w:hAnsi="Cambria Math" w:cs="Arial"/>
                <w:lang w:val="es-EC"/>
              </w:rPr>
              <w:t>Dónde</w:t>
            </w:r>
            <w:r w:rsidRPr="00E37C65">
              <w:rPr>
                <w:rFonts w:ascii="Cambria Math" w:eastAsiaTheme="minorHAnsi" w:hAnsi="Cambria Math" w:cs="Arial"/>
                <w:bCs/>
                <w:color w:val="000000"/>
                <w:lang w:val="es-EC" w:eastAsia="en-US"/>
              </w:rPr>
              <w:t xml:space="preserve">: </w:t>
            </w:r>
          </w:p>
          <w:p w:rsidR="009A6362" w:rsidRPr="00E37C65" w:rsidRDefault="009A6362" w:rsidP="00CC5B27">
            <w:pPr>
              <w:jc w:val="both"/>
              <w:rPr>
                <w:rFonts w:ascii="Cambria Math" w:eastAsia="Times New Roman" w:hAnsi="Cambria Math" w:cs="Arial"/>
                <w:lang w:val="es-EC"/>
              </w:rPr>
            </w:pPr>
          </w:p>
          <w:p w:rsidR="00CC5B27" w:rsidRPr="00E37C65" w:rsidRDefault="00CC5B27" w:rsidP="00CC5B27">
            <w:pPr>
              <w:jc w:val="both"/>
              <w:rPr>
                <w:rFonts w:ascii="Cambria Math" w:eastAsia="Times New Roman" w:hAnsi="Cambria Math" w:cs="Arial"/>
                <w:b/>
                <w:lang w:val="es-EC"/>
              </w:rPr>
            </w:pPr>
            <w:proofErr w:type="spellStart"/>
            <w:r w:rsidRPr="00E37C65">
              <w:rPr>
                <w:rFonts w:ascii="Cambria Math" w:eastAsia="Times New Roman" w:hAnsi="Cambria Math" w:cs="Arial"/>
                <w:b/>
                <w:lang w:val="es-EC"/>
              </w:rPr>
              <w:t>PMG</w:t>
            </w:r>
            <w:r w:rsidR="00E61176" w:rsidRPr="00E37C65">
              <w:rPr>
                <w:rFonts w:ascii="Cambria Math" w:eastAsia="Times New Roman" w:hAnsi="Cambria Math" w:cs="Arial"/>
                <w:b/>
                <w:lang w:val="es-EC"/>
              </w:rPr>
              <w:t>ac</w:t>
            </w:r>
            <w:proofErr w:type="spellEnd"/>
            <w:r w:rsidRPr="00E37C65">
              <w:rPr>
                <w:rFonts w:ascii="Cambria Math" w:eastAsia="Times New Roman" w:hAnsi="Cambria Math" w:cs="Arial"/>
                <w:b/>
                <w:lang w:val="es-EC"/>
              </w:rPr>
              <w:t>: Porcentaje de GAD</w:t>
            </w:r>
            <w:r w:rsidR="009A3212" w:rsidRPr="00E37C65">
              <w:rPr>
                <w:rFonts w:ascii="Cambria Math" w:eastAsia="Times New Roman" w:hAnsi="Cambria Math" w:cs="Arial"/>
                <w:b/>
                <w:lang w:val="es-EC"/>
              </w:rPr>
              <w:t xml:space="preserve"> Municipales que </w:t>
            </w:r>
            <w:proofErr w:type="gramStart"/>
            <w:r w:rsidR="00454E98">
              <w:rPr>
                <w:rFonts w:ascii="Cambria Math" w:eastAsia="Times New Roman" w:hAnsi="Cambria Math" w:cs="Arial"/>
                <w:b/>
                <w:lang w:val="es-EC"/>
              </w:rPr>
              <w:t>prestan</w:t>
            </w:r>
            <w:proofErr w:type="gramEnd"/>
            <w:r w:rsidR="00454E98">
              <w:rPr>
                <w:rFonts w:ascii="Cambria Math" w:eastAsia="Times New Roman" w:hAnsi="Cambria Math" w:cs="Arial"/>
                <w:b/>
                <w:lang w:val="es-EC"/>
              </w:rPr>
              <w:t xml:space="preserve"> el servicio de agua </w:t>
            </w:r>
            <w:r w:rsidR="00D814C7">
              <w:rPr>
                <w:rFonts w:ascii="Cambria Math" w:eastAsia="Times New Roman" w:hAnsi="Cambria Math" w:cs="Arial"/>
                <w:b/>
                <w:lang w:val="es-EC"/>
              </w:rPr>
              <w:t>apta para el consumo humano</w:t>
            </w:r>
            <w:r w:rsidR="00454E98">
              <w:rPr>
                <w:rFonts w:ascii="Cambria Math" w:eastAsia="Times New Roman" w:hAnsi="Cambria Math" w:cs="Arial"/>
                <w:b/>
                <w:lang w:val="es-EC"/>
              </w:rPr>
              <w:t xml:space="preserve"> y alcantarillado</w:t>
            </w:r>
            <w:r w:rsidR="00E61176" w:rsidRPr="00E37C65">
              <w:rPr>
                <w:rFonts w:ascii="Cambria Math" w:eastAsia="Times New Roman" w:hAnsi="Cambria Math" w:cs="Arial"/>
                <w:b/>
                <w:lang w:val="es-EC"/>
              </w:rPr>
              <w:t>.</w:t>
            </w:r>
          </w:p>
          <w:p w:rsidR="007F7DAD" w:rsidRPr="00E37C65" w:rsidRDefault="007F7DAD" w:rsidP="00CC5B27">
            <w:pPr>
              <w:jc w:val="both"/>
              <w:rPr>
                <w:rFonts w:ascii="Cambria Math" w:eastAsia="Times New Roman" w:hAnsi="Cambria Math" w:cs="Arial"/>
                <w:lang w:val="es-EC"/>
              </w:rPr>
            </w:pPr>
          </w:p>
          <w:p w:rsidR="00CC5B27" w:rsidRPr="00E37C65" w:rsidRDefault="003E7B4E" w:rsidP="00CC5B27">
            <w:pPr>
              <w:jc w:val="both"/>
              <w:rPr>
                <w:rFonts w:ascii="Cambria Math" w:eastAsia="Times New Roman" w:hAnsi="Cambria Math" w:cs="Arial"/>
                <w:lang w:val="es-EC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i/>
                      <w:lang w:val="es-EC"/>
                    </w:rPr>
                  </m:ctrlPr>
                </m:sSubPr>
                <m:e>
                  <m:r>
                    <w:rPr>
                      <w:rFonts w:ascii="Cambria Math" w:eastAsia="Times New Roman" w:hAnsi="Cambria Math" w:cs="Arial"/>
                      <w:lang w:val="es-EC"/>
                    </w:rPr>
                    <m:t>X</m:t>
                  </m:r>
                </m:e>
                <m:sub>
                  <m:r>
                    <w:rPr>
                      <w:rFonts w:ascii="Cambria Math" w:eastAsia="Times New Roman" w:hAnsi="Cambria Math" w:cs="Arial"/>
                      <w:lang w:val="es-EC"/>
                    </w:rPr>
                    <m:t>i(t)</m:t>
                  </m:r>
                </m:sub>
              </m:sSub>
            </m:oMath>
            <w:r w:rsidR="00CC5B27" w:rsidRPr="00E37C65">
              <w:rPr>
                <w:rFonts w:ascii="Cambria Math" w:eastAsia="Times New Roman" w:hAnsi="Cambria Math" w:cs="Arial"/>
                <w:lang w:val="es-EC"/>
              </w:rPr>
              <w:t xml:space="preserve">: </w:t>
            </w:r>
            <w:r w:rsidR="009444E2" w:rsidRPr="00E37C65">
              <w:rPr>
                <w:rFonts w:ascii="Cambria Math" w:eastAsia="Times New Roman" w:hAnsi="Cambria Math" w:cs="Arial"/>
                <w:lang w:val="es-EC"/>
              </w:rPr>
              <w:t>GAD</w:t>
            </w:r>
            <w:r w:rsidR="007F7DAD" w:rsidRPr="00E37C65">
              <w:rPr>
                <w:rFonts w:ascii="Cambria Math" w:eastAsia="Times New Roman" w:hAnsi="Cambria Math" w:cs="Arial"/>
                <w:lang w:val="es-EC"/>
              </w:rPr>
              <w:t xml:space="preserve"> Municipales que Cuentan con un Modelo de Gestión (i) en un período t.</w:t>
            </w:r>
          </w:p>
          <w:p w:rsidR="00EB3EA0" w:rsidRPr="00E37C65" w:rsidRDefault="00EB3EA0" w:rsidP="00CC5B27">
            <w:pPr>
              <w:jc w:val="both"/>
              <w:rPr>
                <w:rFonts w:ascii="Cambria Math" w:eastAsia="Times New Roman" w:hAnsi="Cambria Math" w:cs="Arial"/>
                <w:lang w:val="es-EC"/>
              </w:rPr>
            </w:pPr>
          </w:p>
          <w:p w:rsidR="007F7DAD" w:rsidRPr="00E37C65" w:rsidRDefault="007F7DAD" w:rsidP="00E61176">
            <w:pPr>
              <w:ind w:left="708"/>
              <w:jc w:val="both"/>
              <w:rPr>
                <w:rFonts w:ascii="Cambria Math" w:eastAsia="Times New Roman" w:hAnsi="Cambria Math" w:cs="Arial"/>
                <w:lang w:val="es-EC"/>
              </w:rPr>
            </w:pPr>
            <w:r w:rsidRPr="00E37C65">
              <w:rPr>
                <w:rFonts w:ascii="Cambria Math" w:eastAsia="Times New Roman" w:hAnsi="Cambria Math" w:cs="Arial"/>
                <w:lang w:val="es-EC"/>
              </w:rPr>
              <w:t>Si:</w:t>
            </w:r>
          </w:p>
          <w:p w:rsidR="007F7DAD" w:rsidRPr="00E37C65" w:rsidRDefault="007F7DAD" w:rsidP="00E61176">
            <w:pPr>
              <w:ind w:left="708"/>
              <w:jc w:val="both"/>
              <w:rPr>
                <w:rFonts w:ascii="Cambria Math" w:eastAsia="Times New Roman" w:hAnsi="Cambria Math" w:cs="Arial"/>
                <w:lang w:val="es-EC"/>
              </w:rPr>
            </w:pPr>
            <w:r w:rsidRPr="00E37C65">
              <w:rPr>
                <w:rFonts w:ascii="Cambria Math" w:eastAsia="Times New Roman" w:hAnsi="Cambria Math" w:cs="Arial"/>
                <w:lang w:val="es-EC"/>
              </w:rPr>
              <w:t>i=1, Es Empresa Pública Municipal</w:t>
            </w:r>
          </w:p>
          <w:p w:rsidR="00E4475B" w:rsidRPr="00E37C65" w:rsidRDefault="007F7DAD" w:rsidP="00E61176">
            <w:pPr>
              <w:ind w:left="708"/>
              <w:jc w:val="both"/>
              <w:rPr>
                <w:rFonts w:ascii="Cambria Math" w:eastAsia="Times New Roman" w:hAnsi="Cambria Math" w:cs="Arial"/>
                <w:lang w:val="es-EC"/>
              </w:rPr>
            </w:pPr>
            <w:r w:rsidRPr="00E37C65">
              <w:rPr>
                <w:rFonts w:ascii="Cambria Math" w:eastAsia="Times New Roman" w:hAnsi="Cambria Math" w:cs="Arial"/>
                <w:lang w:val="es-EC"/>
              </w:rPr>
              <w:t>i=2,</w:t>
            </w:r>
            <w:r w:rsidR="00E4475B" w:rsidRPr="00E37C65">
              <w:rPr>
                <w:rFonts w:ascii="Cambria Math" w:eastAsia="Times New Roman" w:hAnsi="Cambria Math" w:cs="Arial"/>
                <w:lang w:val="es-EC"/>
              </w:rPr>
              <w:t xml:space="preserve"> Es Cogestión Público Comunitaria</w:t>
            </w:r>
          </w:p>
          <w:p w:rsidR="00E4475B" w:rsidRPr="00E37C65" w:rsidRDefault="00E4475B" w:rsidP="00E61176">
            <w:pPr>
              <w:ind w:left="708"/>
              <w:jc w:val="both"/>
              <w:rPr>
                <w:rFonts w:ascii="Cambria Math" w:eastAsia="Times New Roman" w:hAnsi="Cambria Math" w:cs="Arial"/>
                <w:lang w:val="es-EC"/>
              </w:rPr>
            </w:pPr>
            <w:r w:rsidRPr="00E37C65">
              <w:rPr>
                <w:rFonts w:ascii="Cambria Math" w:eastAsia="Times New Roman" w:hAnsi="Cambria Math" w:cs="Arial"/>
                <w:lang w:val="es-EC"/>
              </w:rPr>
              <w:t>i=3, Es Empresa Regional</w:t>
            </w:r>
          </w:p>
          <w:p w:rsidR="00EB3EA0" w:rsidRPr="00E37C65" w:rsidRDefault="00E4475B" w:rsidP="00E61176">
            <w:pPr>
              <w:ind w:left="708"/>
              <w:jc w:val="both"/>
              <w:rPr>
                <w:rFonts w:ascii="Cambria Math" w:eastAsia="Times New Roman" w:hAnsi="Cambria Math" w:cs="Arial"/>
                <w:lang w:val="es-EC"/>
              </w:rPr>
            </w:pPr>
            <w:r w:rsidRPr="00E37C65">
              <w:rPr>
                <w:rFonts w:ascii="Cambria Math" w:eastAsia="Times New Roman" w:hAnsi="Cambria Math" w:cs="Arial"/>
                <w:lang w:val="es-EC"/>
              </w:rPr>
              <w:t>i=4,</w:t>
            </w:r>
            <w:r w:rsidR="00EB3EA0" w:rsidRPr="00E37C65">
              <w:rPr>
                <w:rFonts w:ascii="Cambria Math" w:eastAsia="Times New Roman" w:hAnsi="Cambria Math" w:cs="Arial"/>
                <w:lang w:val="es-EC"/>
              </w:rPr>
              <w:t xml:space="preserve"> Es Municipio</w:t>
            </w:r>
          </w:p>
          <w:p w:rsidR="00EB3EA0" w:rsidRPr="00E37C65" w:rsidRDefault="00EB3EA0" w:rsidP="00E61176">
            <w:pPr>
              <w:ind w:left="708"/>
              <w:jc w:val="both"/>
              <w:rPr>
                <w:rFonts w:ascii="Cambria Math" w:eastAsia="Times New Roman" w:hAnsi="Cambria Math" w:cs="Arial"/>
                <w:lang w:val="es-EC"/>
              </w:rPr>
            </w:pPr>
            <w:r w:rsidRPr="00E37C65">
              <w:rPr>
                <w:rFonts w:ascii="Cambria Math" w:eastAsia="Times New Roman" w:hAnsi="Cambria Math" w:cs="Arial"/>
                <w:lang w:val="es-EC"/>
              </w:rPr>
              <w:t>i=5, Es Empresa Pública Mancomunado</w:t>
            </w:r>
          </w:p>
          <w:p w:rsidR="007F7DAD" w:rsidRPr="00E37C65" w:rsidRDefault="00EB3EA0" w:rsidP="00E61176">
            <w:pPr>
              <w:ind w:left="708"/>
              <w:jc w:val="both"/>
              <w:rPr>
                <w:rFonts w:ascii="Cambria Math" w:eastAsia="Times New Roman" w:hAnsi="Cambria Math" w:cs="Arial"/>
                <w:lang w:val="es-EC"/>
              </w:rPr>
            </w:pPr>
            <w:r w:rsidRPr="00E37C65">
              <w:rPr>
                <w:rFonts w:ascii="Cambria Math" w:eastAsia="Times New Roman" w:hAnsi="Cambria Math" w:cs="Arial"/>
                <w:lang w:val="es-EC"/>
              </w:rPr>
              <w:t>i=6, Es Operador Privado</w:t>
            </w:r>
            <w:r w:rsidR="007F7DAD" w:rsidRPr="00E37C65">
              <w:rPr>
                <w:rFonts w:ascii="Cambria Math" w:eastAsia="Times New Roman" w:hAnsi="Cambria Math" w:cs="Arial"/>
                <w:lang w:val="es-EC"/>
              </w:rPr>
              <w:t xml:space="preserve"> </w:t>
            </w:r>
          </w:p>
          <w:p w:rsidR="00EB3EA0" w:rsidRPr="00E37C65" w:rsidRDefault="00EB3EA0" w:rsidP="00CC5B27">
            <w:pPr>
              <w:jc w:val="both"/>
              <w:rPr>
                <w:rFonts w:ascii="Cambria Math" w:eastAsia="Times New Roman" w:hAnsi="Cambria Math" w:cs="Arial"/>
                <w:lang w:val="es-EC"/>
              </w:rPr>
            </w:pPr>
          </w:p>
          <w:p w:rsidR="00E37C65" w:rsidRPr="00E61176" w:rsidRDefault="00C470DB" w:rsidP="00E61176">
            <w:pPr>
              <w:spacing w:after="240"/>
              <w:jc w:val="both"/>
              <w:rPr>
                <w:rFonts w:ascii="Cambria Math" w:eastAsia="Times New Roman" w:hAnsi="Cambria Math" w:cs="Arial"/>
                <w:lang w:val="es-EC"/>
              </w:rPr>
            </w:pPr>
            <w:r w:rsidRPr="00E37C65">
              <w:rPr>
                <w:rFonts w:ascii="Cambria Math" w:eastAsia="Times New Roman" w:hAnsi="Cambria Math" w:cs="Arial"/>
                <w:lang w:val="es-EC"/>
              </w:rPr>
              <w:t>Y</w:t>
            </w:r>
            <w:r w:rsidRPr="00E37C65">
              <w:rPr>
                <w:rFonts w:ascii="Cambria Math" w:eastAsia="Times New Roman" w:hAnsi="Cambria Math" w:cs="Arial"/>
                <w:vertAlign w:val="subscript"/>
                <w:lang w:val="es-EC"/>
              </w:rPr>
              <w:t>(t)</w:t>
            </w:r>
            <w:r w:rsidRPr="00E37C65">
              <w:rPr>
                <w:rFonts w:ascii="Cambria Math" w:eastAsia="Times New Roman" w:hAnsi="Cambria Math" w:cs="Arial"/>
                <w:lang w:val="es-EC"/>
              </w:rPr>
              <w:t>= Total GAD</w:t>
            </w:r>
            <w:r w:rsidR="00EB3EA0" w:rsidRPr="00E37C65">
              <w:rPr>
                <w:rFonts w:ascii="Cambria Math" w:eastAsia="Times New Roman" w:hAnsi="Cambria Math" w:cs="Arial"/>
                <w:lang w:val="es-EC"/>
              </w:rPr>
              <w:t xml:space="preserve"> Municipales </w:t>
            </w:r>
            <w:r w:rsidR="00E61176" w:rsidRPr="00E37C65">
              <w:rPr>
                <w:rFonts w:ascii="Cambria Math" w:eastAsia="Times New Roman" w:hAnsi="Cambria Math" w:cs="Arial"/>
                <w:lang w:val="es-EC"/>
              </w:rPr>
              <w:t>a nivel nacional en el periodo t.</w:t>
            </w:r>
          </w:p>
        </w:tc>
      </w:tr>
      <w:tr w:rsidR="008E57E3" w:rsidTr="004D5A80">
        <w:trPr>
          <w:trHeight w:val="513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8E57E3" w:rsidRPr="00782FD2" w:rsidRDefault="008E57E3" w:rsidP="009112A5">
            <w:pPr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782FD2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DEFINICIÓN DE LAS VARIABLES RELACIONADAS</w:t>
            </w:r>
          </w:p>
        </w:tc>
      </w:tr>
      <w:tr w:rsidR="00E96785" w:rsidTr="004D5A80">
        <w:trPr>
          <w:trHeight w:val="1728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3D02" w:rsidRDefault="00263D02" w:rsidP="00E61176">
            <w:pPr>
              <w:pStyle w:val="Default"/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Modelo de Gestión: </w:t>
            </w:r>
            <w:r w:rsidRPr="00263D02">
              <w:rPr>
                <w:rFonts w:ascii="Arial" w:hAnsi="Arial" w:cs="Arial"/>
                <w:bCs/>
                <w:sz w:val="22"/>
                <w:szCs w:val="22"/>
              </w:rPr>
              <w:t xml:space="preserve">El ejercicio de las competencias observará una gestión solidaria y subsidiaria entre los diferentes niveles de gobierno con participación ciudadana y </w:t>
            </w:r>
            <w:r w:rsidR="00E37C65" w:rsidRPr="00263D02">
              <w:rPr>
                <w:rFonts w:ascii="Arial" w:hAnsi="Arial" w:cs="Arial"/>
                <w:bCs/>
                <w:sz w:val="22"/>
                <w:szCs w:val="22"/>
              </w:rPr>
              <w:t>una</w:t>
            </w:r>
            <w:r w:rsidRPr="00263D02">
              <w:rPr>
                <w:rFonts w:ascii="Arial" w:hAnsi="Arial" w:cs="Arial"/>
                <w:bCs/>
                <w:sz w:val="22"/>
                <w:szCs w:val="22"/>
              </w:rPr>
              <w:t xml:space="preserve"> adecuada coordinación interinstitucional.</w:t>
            </w:r>
          </w:p>
          <w:p w:rsidR="00263D02" w:rsidRPr="00E37C65" w:rsidRDefault="00263D02" w:rsidP="00E61176">
            <w:pPr>
              <w:pStyle w:val="Default"/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37C65">
              <w:rPr>
                <w:rFonts w:ascii="Arial" w:hAnsi="Arial" w:cs="Arial"/>
                <w:b/>
                <w:bCs/>
                <w:sz w:val="22"/>
                <w:szCs w:val="22"/>
              </w:rPr>
              <w:t>Prestación de Servicios Públicos: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la competencia de prestación de servicios públicos de agua </w:t>
            </w:r>
            <w:r w:rsidR="00D814C7">
              <w:rPr>
                <w:rFonts w:ascii="Arial" w:hAnsi="Arial" w:cs="Arial"/>
                <w:bCs/>
                <w:sz w:val="22"/>
                <w:szCs w:val="22"/>
              </w:rPr>
              <w:t>apta para el consumo humano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, en todas sus </w:t>
            </w:r>
            <w:r w:rsidR="00E37C65">
              <w:rPr>
                <w:rFonts w:ascii="Arial" w:hAnsi="Arial" w:cs="Arial"/>
                <w:bCs/>
                <w:sz w:val="22"/>
                <w:szCs w:val="22"/>
              </w:rPr>
              <w:t>fases,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las ejecutaran los gobiernos </w:t>
            </w:r>
            <w:r>
              <w:rPr>
                <w:rFonts w:ascii="Arial" w:hAnsi="Arial" w:cs="Arial"/>
                <w:bCs/>
                <w:sz w:val="22"/>
                <w:szCs w:val="22"/>
              </w:rPr>
              <w:lastRenderedPageBreak/>
              <w:t>autónomos descentralizados municipales</w:t>
            </w:r>
            <w:r w:rsidR="00E37C65">
              <w:rPr>
                <w:rFonts w:ascii="Arial" w:hAnsi="Arial" w:cs="Arial"/>
                <w:bCs/>
                <w:sz w:val="22"/>
                <w:szCs w:val="22"/>
              </w:rPr>
              <w:t xml:space="preserve"> con sus respectivas normativas y dando cumplimiento a las regulaciones y políticas nacionales establecidas por las autoridades correspondientes. </w:t>
            </w:r>
          </w:p>
          <w:p w:rsidR="009A3212" w:rsidRPr="00782FD2" w:rsidRDefault="009A3212" w:rsidP="00E61176">
            <w:pPr>
              <w:pStyle w:val="Default"/>
              <w:spacing w:before="240"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82FD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Gobierno Autónomo Descentralizado Municipal (GAD Municipal): </w:t>
            </w:r>
            <w:r w:rsidRPr="00782FD2">
              <w:rPr>
                <w:rFonts w:ascii="Arial" w:hAnsi="Arial" w:cs="Arial"/>
                <w:sz w:val="22"/>
                <w:szCs w:val="22"/>
              </w:rPr>
              <w:t>Persona jurídica de derecho público, con autonomía política, administrativa y financiera.</w:t>
            </w:r>
          </w:p>
          <w:p w:rsidR="00E61176" w:rsidRPr="00782FD2" w:rsidRDefault="009A3212" w:rsidP="00E61176">
            <w:pPr>
              <w:pStyle w:val="Default"/>
              <w:spacing w:before="240"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82FD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Cantón: </w:t>
            </w:r>
            <w:r w:rsidRPr="00782FD2">
              <w:rPr>
                <w:rFonts w:ascii="Arial" w:hAnsi="Arial" w:cs="Arial"/>
                <w:sz w:val="22"/>
                <w:szCs w:val="22"/>
              </w:rPr>
              <w:t>Circunscripción territorial conformada por parroquias rurales y la cabecera cantonal con sus parroquias urbanas, señaladas en su respectiva ley de creación, y por las que se crearen con posterioridad, de conformidad con la presente ley.</w:t>
            </w:r>
          </w:p>
          <w:p w:rsidR="008F7E1F" w:rsidRPr="00782FD2" w:rsidRDefault="009A3212" w:rsidP="00E61176">
            <w:pPr>
              <w:pStyle w:val="Default"/>
              <w:spacing w:before="240" w:after="240"/>
              <w:jc w:val="both"/>
              <w:rPr>
                <w:rStyle w:val="ya-q-full-text"/>
                <w:rFonts w:ascii="Arial" w:hAnsi="Arial" w:cs="Arial"/>
                <w:sz w:val="22"/>
                <w:szCs w:val="22"/>
              </w:rPr>
            </w:pPr>
            <w:r w:rsidRPr="00782FD2">
              <w:rPr>
                <w:rFonts w:ascii="Arial" w:hAnsi="Arial" w:cs="Arial"/>
                <w:b/>
                <w:sz w:val="22"/>
                <w:szCs w:val="22"/>
              </w:rPr>
              <w:t>Empresa Pública Municipal:</w:t>
            </w:r>
            <w:r w:rsidRPr="00782F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F7E1F" w:rsidRPr="00782FD2">
              <w:rPr>
                <w:rFonts w:ascii="Arial" w:hAnsi="Arial" w:cs="Arial"/>
                <w:sz w:val="22"/>
                <w:szCs w:val="22"/>
              </w:rPr>
              <w:t>Es</w:t>
            </w:r>
            <w:r w:rsidR="008F7E1F" w:rsidRPr="00782FD2">
              <w:rPr>
                <w:rStyle w:val="ya-q-full-text"/>
                <w:rFonts w:ascii="Arial" w:hAnsi="Arial" w:cs="Arial"/>
                <w:sz w:val="22"/>
                <w:szCs w:val="22"/>
              </w:rPr>
              <w:t xml:space="preserve"> toda aquella que es propiedad del Estado, sea éste nacional, municipal o de cualquier otro estrato administrativo. También, la Unión Europea define a una empresa pública como cualquier empresa en la que los poderes públicos puedan ejercer, directa o indirectamente, una influencia dominante en razón de la propiedad, de la participación financiera o de las normas que las rigen.</w:t>
            </w:r>
          </w:p>
          <w:p w:rsidR="009A3212" w:rsidRPr="00782FD2" w:rsidRDefault="009A3212" w:rsidP="00E61176">
            <w:pPr>
              <w:pStyle w:val="Default"/>
              <w:spacing w:before="240" w:after="240"/>
              <w:jc w:val="both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782FD2">
              <w:rPr>
                <w:rFonts w:ascii="Arial" w:eastAsia="Times New Roman" w:hAnsi="Arial" w:cs="Arial"/>
                <w:b/>
                <w:sz w:val="22"/>
                <w:szCs w:val="22"/>
              </w:rPr>
              <w:t>Cogestión Público Comunitaria:</w:t>
            </w:r>
            <w:r w:rsidR="009423A8">
              <w:rPr>
                <w:rFonts w:ascii="Times New Roman" w:hAnsi="Times New Roman"/>
              </w:rPr>
              <w:t xml:space="preserve"> </w:t>
            </w:r>
            <w:r w:rsidR="009423A8">
              <w:rPr>
                <w:rFonts w:ascii="Arial" w:hAnsi="Arial" w:cs="Arial"/>
                <w:sz w:val="22"/>
                <w:szCs w:val="22"/>
              </w:rPr>
              <w:t>L</w:t>
            </w:r>
            <w:r w:rsidR="009423A8" w:rsidRPr="009423A8">
              <w:rPr>
                <w:rFonts w:ascii="Arial" w:hAnsi="Arial" w:cs="Arial"/>
                <w:sz w:val="22"/>
                <w:szCs w:val="22"/>
              </w:rPr>
              <w:t xml:space="preserve">as Juntas Administradoras de Agua </w:t>
            </w:r>
            <w:r w:rsidR="00D814C7">
              <w:rPr>
                <w:rFonts w:ascii="Arial" w:hAnsi="Arial" w:cs="Arial"/>
                <w:sz w:val="22"/>
                <w:szCs w:val="22"/>
              </w:rPr>
              <w:t>apta para el consumo humano</w:t>
            </w:r>
            <w:r w:rsidR="009423A8" w:rsidRPr="009423A8">
              <w:rPr>
                <w:rFonts w:ascii="Arial" w:hAnsi="Arial" w:cs="Arial"/>
                <w:sz w:val="22"/>
                <w:szCs w:val="22"/>
              </w:rPr>
              <w:t xml:space="preserve"> son organizaciones comunitarias, sin fines de lucro, que tienen la finalidad de prestar el servicio público de agua </w:t>
            </w:r>
            <w:r w:rsidR="00D814C7">
              <w:rPr>
                <w:rFonts w:ascii="Arial" w:hAnsi="Arial" w:cs="Arial"/>
                <w:sz w:val="22"/>
                <w:szCs w:val="22"/>
              </w:rPr>
              <w:t>apta para el consumo humano</w:t>
            </w:r>
            <w:r w:rsidR="009423A8" w:rsidRPr="009423A8">
              <w:rPr>
                <w:rFonts w:ascii="Arial" w:hAnsi="Arial" w:cs="Arial"/>
                <w:sz w:val="22"/>
                <w:szCs w:val="22"/>
              </w:rPr>
              <w:t xml:space="preserve"> así como en su caso, el de saneamiento. Su accionar se fundamenta en criterios de eficiencia económica, sostenibilidad del recurso hídrico, calidad en la prestación de los servicios y equidad en el reparto del agua</w:t>
            </w:r>
            <w:r w:rsidR="009423A8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9A3212" w:rsidRPr="009423A8" w:rsidRDefault="009A3212" w:rsidP="00E61176">
            <w:pPr>
              <w:pStyle w:val="Default"/>
              <w:spacing w:before="240" w:after="240"/>
              <w:jc w:val="both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782FD2">
              <w:rPr>
                <w:rFonts w:ascii="Arial" w:eastAsia="Times New Roman" w:hAnsi="Arial" w:cs="Arial"/>
                <w:b/>
                <w:sz w:val="22"/>
                <w:szCs w:val="22"/>
              </w:rPr>
              <w:t>Empresa Regional:</w:t>
            </w:r>
            <w:r w:rsidR="009423A8">
              <w:rPr>
                <w:rFonts w:ascii="Times New Roman" w:hAnsi="Times New Roman"/>
              </w:rPr>
              <w:t xml:space="preserve"> </w:t>
            </w:r>
            <w:r w:rsidR="009423A8">
              <w:rPr>
                <w:rFonts w:ascii="Arial" w:hAnsi="Arial" w:cs="Arial"/>
                <w:sz w:val="22"/>
                <w:szCs w:val="22"/>
              </w:rPr>
              <w:t>E</w:t>
            </w:r>
            <w:r w:rsidR="009423A8" w:rsidRPr="009423A8">
              <w:rPr>
                <w:rFonts w:ascii="Arial" w:hAnsi="Arial" w:cs="Arial"/>
                <w:sz w:val="22"/>
                <w:szCs w:val="22"/>
              </w:rPr>
              <w:t>s una empresa que presta servicio a varios municipios</w:t>
            </w:r>
          </w:p>
          <w:p w:rsidR="008F7E1F" w:rsidRPr="00782FD2" w:rsidRDefault="008F7E1F" w:rsidP="00E61176">
            <w:pPr>
              <w:pStyle w:val="Default"/>
              <w:spacing w:before="240"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82FD2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Empresa Pública Mancomunado: </w:t>
            </w:r>
            <w:r w:rsidRPr="00782FD2">
              <w:rPr>
                <w:rFonts w:ascii="Arial" w:hAnsi="Arial" w:cs="Arial"/>
                <w:sz w:val="22"/>
                <w:szCs w:val="22"/>
              </w:rPr>
              <w:t>Los Gobiernos Autónomos Descentralizados mancomunados o que conformaren consorcios, podrán crear empresas públicas de acuerdo con la ley que regula las empresas públicas, para dar cumplimiento a las finalidades de la mancomunidad o consorcio.</w:t>
            </w:r>
          </w:p>
          <w:p w:rsidR="009A3212" w:rsidRPr="00782FD2" w:rsidRDefault="00661253" w:rsidP="009423A8">
            <w:pPr>
              <w:pStyle w:val="Default"/>
              <w:spacing w:before="240" w:after="240"/>
              <w:jc w:val="both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782FD2">
              <w:rPr>
                <w:rFonts w:ascii="Arial" w:eastAsia="Times New Roman" w:hAnsi="Arial" w:cs="Arial"/>
                <w:b/>
                <w:sz w:val="22"/>
                <w:szCs w:val="22"/>
              </w:rPr>
              <w:t>Operador Privado:</w:t>
            </w:r>
            <w:r w:rsidR="009423A8">
              <w:rPr>
                <w:rFonts w:ascii="Times New Roman" w:hAnsi="Times New Roman"/>
              </w:rPr>
              <w:t xml:space="preserve"> </w:t>
            </w:r>
            <w:r w:rsidR="009423A8">
              <w:rPr>
                <w:rFonts w:ascii="Arial" w:hAnsi="Arial" w:cs="Arial"/>
                <w:sz w:val="22"/>
                <w:szCs w:val="22"/>
              </w:rPr>
              <w:t xml:space="preserve">Es </w:t>
            </w:r>
            <w:r w:rsidR="009423A8" w:rsidRPr="009423A8">
              <w:rPr>
                <w:rFonts w:ascii="Arial" w:hAnsi="Arial" w:cs="Arial"/>
                <w:sz w:val="22"/>
                <w:szCs w:val="22"/>
              </w:rPr>
              <w:t>el servicio que presta a través  del sector privado</w:t>
            </w:r>
          </w:p>
        </w:tc>
      </w:tr>
      <w:tr w:rsidR="00E96785" w:rsidTr="004D5A80">
        <w:trPr>
          <w:trHeight w:val="513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E96785" w:rsidRPr="00782FD2" w:rsidRDefault="00103247" w:rsidP="009112A5">
            <w:pPr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782FD2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lastRenderedPageBreak/>
              <w:t>METODOLOGÍA DE CÁ</w:t>
            </w:r>
            <w:r w:rsidR="00E96785" w:rsidRPr="00782FD2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LCULO</w:t>
            </w:r>
          </w:p>
        </w:tc>
      </w:tr>
      <w:tr w:rsidR="00E96785" w:rsidTr="004D5A80">
        <w:trPr>
          <w:trHeight w:val="877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2844" w:rsidRPr="00782FD2" w:rsidRDefault="00426EE8" w:rsidP="00A030F8">
            <w:pPr>
              <w:pStyle w:val="Default"/>
              <w:spacing w:before="240"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82FD2">
              <w:rPr>
                <w:rFonts w:ascii="Arial" w:hAnsi="Arial" w:cs="Arial"/>
                <w:sz w:val="22"/>
                <w:szCs w:val="22"/>
              </w:rPr>
              <w:t xml:space="preserve">Se calcula como </w:t>
            </w:r>
            <w:r w:rsidR="009444E2" w:rsidRPr="00782FD2">
              <w:rPr>
                <w:rFonts w:ascii="Arial" w:hAnsi="Arial" w:cs="Arial"/>
                <w:sz w:val="22"/>
                <w:szCs w:val="22"/>
              </w:rPr>
              <w:t>el cociente entre número de GAD</w:t>
            </w:r>
            <w:r w:rsidRPr="00782FD2">
              <w:rPr>
                <w:rFonts w:ascii="Arial" w:hAnsi="Arial" w:cs="Arial"/>
                <w:sz w:val="22"/>
                <w:szCs w:val="22"/>
              </w:rPr>
              <w:t xml:space="preserve"> Municipales que cuentan con un modelo de gestión (i)</w:t>
            </w:r>
            <w:r w:rsidR="00A030F8" w:rsidRPr="00782FD2">
              <w:rPr>
                <w:rFonts w:ascii="Arial" w:hAnsi="Arial" w:cs="Arial"/>
                <w:sz w:val="22"/>
                <w:szCs w:val="22"/>
              </w:rPr>
              <w:t xml:space="preserve"> determinado</w:t>
            </w:r>
            <w:r w:rsidRPr="00782FD2">
              <w:rPr>
                <w:rFonts w:ascii="Arial" w:hAnsi="Arial" w:cs="Arial"/>
                <w:sz w:val="22"/>
                <w:szCs w:val="22"/>
              </w:rPr>
              <w:t xml:space="preserve"> en un período (t), sobre el total de municipios a nivel nacional en el mismo período (t). Multiplicado por cien (100) para expresa</w:t>
            </w:r>
            <w:r w:rsidR="009444E2" w:rsidRPr="00782FD2">
              <w:rPr>
                <w:rFonts w:ascii="Arial" w:hAnsi="Arial" w:cs="Arial"/>
                <w:sz w:val="22"/>
                <w:szCs w:val="22"/>
              </w:rPr>
              <w:t xml:space="preserve">r el indicador </w:t>
            </w:r>
            <w:r w:rsidRPr="00782FD2">
              <w:rPr>
                <w:rFonts w:ascii="Arial" w:hAnsi="Arial" w:cs="Arial"/>
                <w:sz w:val="22"/>
                <w:szCs w:val="22"/>
              </w:rPr>
              <w:t>como porcentaje.</w:t>
            </w:r>
          </w:p>
        </w:tc>
      </w:tr>
      <w:tr w:rsidR="004D5A80" w:rsidTr="004D5A80">
        <w:trPr>
          <w:trHeight w:val="877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 w:themeFill="text2" w:themeFillTint="33"/>
            <w:vAlign w:val="center"/>
          </w:tcPr>
          <w:p w:rsidR="004D5A80" w:rsidRPr="00782FD2" w:rsidRDefault="004D5A80" w:rsidP="004D5A80">
            <w:pPr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782FD2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LIMITACIONES TÉCNICAS</w:t>
            </w:r>
          </w:p>
        </w:tc>
      </w:tr>
      <w:tr w:rsidR="004D5A80" w:rsidTr="004D5A80">
        <w:trPr>
          <w:trHeight w:val="877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D5A80" w:rsidRPr="00782FD2" w:rsidRDefault="009444E2" w:rsidP="00387FE0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lang w:val="es-EC"/>
              </w:rPr>
            </w:pPr>
            <w:r w:rsidRPr="00782FD2">
              <w:rPr>
                <w:rFonts w:ascii="Arial" w:hAnsi="Arial" w:cs="Arial"/>
                <w:sz w:val="22"/>
                <w:szCs w:val="22"/>
                <w:lang w:val="es-EC"/>
              </w:rPr>
              <w:t>No aplica.</w:t>
            </w:r>
          </w:p>
        </w:tc>
      </w:tr>
      <w:tr w:rsidR="003E3485" w:rsidTr="004D5A80">
        <w:trPr>
          <w:trHeight w:val="489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E96785" w:rsidRPr="00782FD2" w:rsidRDefault="00E96785" w:rsidP="009112A5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782FD2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 xml:space="preserve">UNIDAD DE MEDIDA </w:t>
            </w:r>
            <w:r w:rsidR="004D5A80" w:rsidRPr="00782FD2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 xml:space="preserve">O EXPRESIÓN </w:t>
            </w:r>
            <w:r w:rsidRPr="00782FD2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DEL INDICADOR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6785" w:rsidRPr="00782FD2" w:rsidRDefault="00E30599" w:rsidP="009112A5">
            <w:pPr>
              <w:rPr>
                <w:rFonts w:ascii="Arial" w:eastAsia="Times New Roman" w:hAnsi="Arial" w:cs="Arial"/>
                <w:color w:val="FF0000"/>
                <w:sz w:val="22"/>
                <w:szCs w:val="22"/>
                <w:lang w:val="es-EC"/>
              </w:rPr>
            </w:pPr>
            <w:r w:rsidRPr="00782FD2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>Porcentaje (%).</w:t>
            </w:r>
          </w:p>
        </w:tc>
      </w:tr>
      <w:tr w:rsidR="003E3485" w:rsidTr="004D5A80">
        <w:trPr>
          <w:trHeight w:val="1063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E96785" w:rsidRPr="00782FD2" w:rsidRDefault="00E96785" w:rsidP="009112A5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782FD2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lastRenderedPageBreak/>
              <w:t>INTERPRETACIÓN DEL INDICADOR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44E2" w:rsidRPr="00782FD2" w:rsidRDefault="00C470DB" w:rsidP="009444E2">
            <w:pPr>
              <w:spacing w:before="240" w:after="24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</w:pPr>
            <w:r w:rsidRPr="00782FD2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 xml:space="preserve">Se expresa </w:t>
            </w:r>
            <w:r w:rsidR="009444E2" w:rsidRPr="00782FD2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>como el porcentaje de GAD</w:t>
            </w:r>
            <w:r w:rsidR="00E30599" w:rsidRPr="00782FD2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 xml:space="preserve"> Municipales que cuentan con un modelo de gestión</w:t>
            </w:r>
            <w:r w:rsidR="009A3212" w:rsidRPr="00782FD2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 xml:space="preserve"> para la prestación de servicios de agua </w:t>
            </w:r>
            <w:r w:rsidR="005328F3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>apta para el consumo humano</w:t>
            </w:r>
            <w:r w:rsidR="009A3212" w:rsidRPr="00782FD2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 xml:space="preserve"> y alcantarillado</w:t>
            </w:r>
            <w:r w:rsidR="009444E2" w:rsidRPr="00782FD2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 xml:space="preserve"> (i), en relación al total de municipios a nivel nacional. </w:t>
            </w:r>
          </w:p>
          <w:p w:rsidR="00943765" w:rsidRPr="00782FD2" w:rsidRDefault="00E30599" w:rsidP="00A030F8">
            <w:pPr>
              <w:spacing w:before="240" w:after="240"/>
              <w:jc w:val="both"/>
              <w:rPr>
                <w:rFonts w:ascii="Arial" w:eastAsia="Times New Roman" w:hAnsi="Arial" w:cs="Arial"/>
                <w:color w:val="FF0000"/>
                <w:sz w:val="22"/>
                <w:szCs w:val="22"/>
                <w:lang w:val="es-EC"/>
              </w:rPr>
            </w:pPr>
            <w:r w:rsidRPr="00782FD2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>Entre más cercano al 100% sign</w:t>
            </w:r>
            <w:r w:rsidR="00A030F8" w:rsidRPr="00782FD2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>ifica que un alto número de GAD</w:t>
            </w:r>
            <w:r w:rsidRPr="00782FD2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 xml:space="preserve"> Municipales cuenta con un determinado modelo de gestión.</w:t>
            </w:r>
          </w:p>
        </w:tc>
      </w:tr>
      <w:tr w:rsidR="003E3485" w:rsidTr="004D5A80">
        <w:trPr>
          <w:trHeight w:val="528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782FD2" w:rsidRDefault="00112102" w:rsidP="009112A5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782FD2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FUENTE DE DATOS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42B9" w:rsidRPr="00AE2F58" w:rsidRDefault="00E842B9" w:rsidP="00E842B9">
            <w:pPr>
              <w:spacing w:before="240"/>
              <w:jc w:val="both"/>
              <w:rPr>
                <w:rFonts w:ascii="Arial" w:eastAsia="Times New Roman" w:hAnsi="Arial" w:cs="Arial"/>
                <w:sz w:val="22"/>
                <w:szCs w:val="22"/>
                <w:lang w:val="es-EC"/>
              </w:rPr>
            </w:pPr>
            <w:r w:rsidRPr="00AE2F58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Estadística de Información Ambiental Económica en Gobiernos Autónom</w:t>
            </w:r>
            <w:r>
              <w:rPr>
                <w:rFonts w:ascii="Arial" w:eastAsia="Times New Roman" w:hAnsi="Arial" w:cs="Arial"/>
                <w:lang w:val="es-EC"/>
              </w:rPr>
              <w:t>os Descentralizados Municipales. (INEC)</w:t>
            </w:r>
          </w:p>
          <w:p w:rsidR="0070609C" w:rsidRPr="00782FD2" w:rsidRDefault="00E842B9" w:rsidP="00E842B9">
            <w:pPr>
              <w:spacing w:before="240" w:after="240"/>
              <w:rPr>
                <w:rFonts w:ascii="Arial" w:eastAsiaTheme="minorEastAsia" w:hAnsi="Arial" w:cs="Arial"/>
                <w:color w:val="FF0000"/>
                <w:sz w:val="22"/>
                <w:szCs w:val="22"/>
                <w:lang w:val="es-EC" w:eastAsia="es-EC"/>
              </w:rPr>
            </w:pPr>
            <w:r w:rsidRPr="00AE2F58"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  <w:t>Sistema Nacional de Información Municipal (SNIM). Asociación de Municipalidades Ecuatorianas (AME).</w:t>
            </w:r>
          </w:p>
        </w:tc>
      </w:tr>
      <w:tr w:rsidR="003E3485" w:rsidTr="009A3212">
        <w:trPr>
          <w:trHeight w:val="590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782FD2" w:rsidRDefault="00112102" w:rsidP="009112A5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782FD2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PERIODICIDAD DEL INDICADOR Y/O LAS VARIABLES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782FD2" w:rsidRDefault="0041114A" w:rsidP="00BA7FFC">
            <w:pPr>
              <w:rPr>
                <w:rFonts w:ascii="Arial" w:eastAsiaTheme="minorEastAsia" w:hAnsi="Arial" w:cs="Arial"/>
                <w:color w:val="FF0000"/>
                <w:sz w:val="22"/>
                <w:szCs w:val="22"/>
                <w:lang w:val="es-EC" w:eastAsia="es-EC"/>
              </w:rPr>
            </w:pPr>
            <w:r w:rsidRPr="00782FD2">
              <w:rPr>
                <w:rFonts w:ascii="Arial" w:eastAsiaTheme="minorEastAsia" w:hAnsi="Arial" w:cs="Arial"/>
                <w:sz w:val="22"/>
                <w:szCs w:val="22"/>
                <w:lang w:val="es-EC" w:eastAsia="es-EC"/>
              </w:rPr>
              <w:t xml:space="preserve">Anual </w:t>
            </w:r>
          </w:p>
        </w:tc>
      </w:tr>
      <w:tr w:rsidR="003E3485" w:rsidTr="004D5A80">
        <w:trPr>
          <w:trHeight w:val="387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782FD2" w:rsidRDefault="00112102" w:rsidP="009112A5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782FD2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DISPONIBILIDAD DE LOS DATOS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782FD2" w:rsidRDefault="00EE0E30" w:rsidP="00BC626B">
            <w:pPr>
              <w:rPr>
                <w:rFonts w:ascii="Arial" w:eastAsia="Times New Roman" w:hAnsi="Arial" w:cs="Arial"/>
                <w:sz w:val="22"/>
                <w:szCs w:val="22"/>
                <w:lang w:val="es-EC"/>
              </w:rPr>
            </w:pPr>
            <w:r w:rsidRPr="00782FD2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2015</w:t>
            </w:r>
          </w:p>
        </w:tc>
      </w:tr>
      <w:tr w:rsidR="00FA1B15" w:rsidTr="004D5A80">
        <w:trPr>
          <w:trHeight w:val="510"/>
          <w:tblCellSpacing w:w="20" w:type="dxa"/>
        </w:trPr>
        <w:tc>
          <w:tcPr>
            <w:tcW w:w="117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782FD2" w:rsidRDefault="00112102" w:rsidP="009112A5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782FD2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NIVEL DE DESAGREGACIÓN</w:t>
            </w:r>
          </w:p>
        </w:tc>
        <w:tc>
          <w:tcPr>
            <w:tcW w:w="9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112102" w:rsidRPr="00782FD2" w:rsidRDefault="00112102" w:rsidP="00E95C90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782FD2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GEOGRÁFICO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70DB" w:rsidRPr="00782FD2" w:rsidRDefault="00304887" w:rsidP="00E842B9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color w:val="000000"/>
                <w:lang w:val="es-EC"/>
              </w:rPr>
            </w:pPr>
            <w:r w:rsidRPr="00782FD2">
              <w:rPr>
                <w:rFonts w:ascii="Arial" w:hAnsi="Arial" w:cs="Arial"/>
                <w:color w:val="000000"/>
                <w:lang w:val="es-EC"/>
              </w:rPr>
              <w:t>Nacional</w:t>
            </w:r>
          </w:p>
          <w:p w:rsidR="006F3C32" w:rsidRPr="00782FD2" w:rsidRDefault="006F3C32" w:rsidP="00B95443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s-EC"/>
              </w:rPr>
            </w:pPr>
            <w:r w:rsidRPr="00782FD2">
              <w:rPr>
                <w:rFonts w:ascii="Arial" w:hAnsi="Arial" w:cs="Arial"/>
                <w:color w:val="000000"/>
                <w:lang w:val="es-EC"/>
              </w:rPr>
              <w:t>Regional</w:t>
            </w:r>
          </w:p>
          <w:p w:rsidR="00112102" w:rsidRPr="00782FD2" w:rsidRDefault="00304887" w:rsidP="00A030F8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s-EC"/>
              </w:rPr>
            </w:pPr>
            <w:r w:rsidRPr="00782FD2">
              <w:rPr>
                <w:rFonts w:ascii="Arial" w:hAnsi="Arial" w:cs="Arial"/>
                <w:color w:val="000000"/>
                <w:lang w:val="es-EC"/>
              </w:rPr>
              <w:t>Provincial</w:t>
            </w:r>
          </w:p>
        </w:tc>
      </w:tr>
      <w:tr w:rsidR="00FA1B15" w:rsidTr="004D5A80">
        <w:trPr>
          <w:trHeight w:val="510"/>
          <w:tblCellSpacing w:w="2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102" w:rsidRPr="00782FD2" w:rsidRDefault="00112102" w:rsidP="009112A5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</w:p>
        </w:tc>
        <w:tc>
          <w:tcPr>
            <w:tcW w:w="9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112102" w:rsidRPr="00782FD2" w:rsidRDefault="00112102" w:rsidP="00E95C90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782FD2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GENERAL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782FD2" w:rsidRDefault="00A030F8" w:rsidP="00B95443">
            <w:pPr>
              <w:autoSpaceDE w:val="0"/>
              <w:autoSpaceDN w:val="0"/>
              <w:adjustRightInd w:val="0"/>
              <w:spacing w:before="240" w:after="240"/>
              <w:rPr>
                <w:rFonts w:ascii="Arial" w:eastAsiaTheme="minorHAnsi" w:hAnsi="Arial" w:cs="Arial"/>
                <w:sz w:val="22"/>
                <w:szCs w:val="22"/>
                <w:lang w:val="es-EC" w:eastAsia="en-US"/>
              </w:rPr>
            </w:pPr>
            <w:r w:rsidRPr="00782FD2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>No aplica</w:t>
            </w:r>
          </w:p>
        </w:tc>
      </w:tr>
      <w:tr w:rsidR="00FA1B15" w:rsidTr="004D5A80">
        <w:trPr>
          <w:trHeight w:val="510"/>
          <w:tblCellSpacing w:w="2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102" w:rsidRPr="00782FD2" w:rsidRDefault="00112102" w:rsidP="009112A5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</w:p>
        </w:tc>
        <w:tc>
          <w:tcPr>
            <w:tcW w:w="9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112102" w:rsidRPr="00782FD2" w:rsidRDefault="00112102" w:rsidP="00E95C90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782FD2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OTROS ÁMBITOS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782FD2" w:rsidRDefault="00B95443" w:rsidP="00B9544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val="es-EC" w:eastAsia="en-US"/>
              </w:rPr>
            </w:pPr>
            <w:r w:rsidRPr="00782FD2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>No aplica</w:t>
            </w:r>
          </w:p>
        </w:tc>
      </w:tr>
      <w:tr w:rsidR="003E3485" w:rsidTr="009A3212">
        <w:trPr>
          <w:trHeight w:val="510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782FD2" w:rsidRDefault="00112102" w:rsidP="009112A5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782FD2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INFORMACIÓN GEO – REFERENCIADA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782FD2" w:rsidRDefault="00E516F3" w:rsidP="006373B8">
            <w:pPr>
              <w:rPr>
                <w:rFonts w:ascii="Arial" w:eastAsia="Times New Roman" w:hAnsi="Arial" w:cs="Arial"/>
                <w:sz w:val="22"/>
                <w:szCs w:val="22"/>
                <w:lang w:val="es-EC"/>
              </w:rPr>
            </w:pPr>
            <w:r w:rsidRPr="00782FD2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>No aplica</w:t>
            </w:r>
          </w:p>
        </w:tc>
      </w:tr>
      <w:tr w:rsidR="003E3485" w:rsidTr="004D5A80">
        <w:trPr>
          <w:trHeight w:val="244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782FD2" w:rsidRDefault="00112102" w:rsidP="009112A5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782FD2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RELACIÓN CON  INSTRUMENTOS DE PLANIFICACIÓN NACIONAL O ACUERDOS, INICIATIVAS  INTERNACIONALES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304887" w:rsidRPr="00782FD2" w:rsidRDefault="00304887" w:rsidP="00E516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 w:val="22"/>
                <w:szCs w:val="22"/>
                <w:lang w:val="es-EC" w:eastAsia="en-US"/>
              </w:rPr>
            </w:pPr>
          </w:p>
          <w:p w:rsidR="00E516F3" w:rsidRPr="00782FD2" w:rsidRDefault="00E516F3" w:rsidP="00A8526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 w:val="22"/>
                <w:szCs w:val="22"/>
                <w:lang w:val="es-EC" w:eastAsia="en-US"/>
              </w:rPr>
            </w:pPr>
            <w:r w:rsidRPr="00782FD2"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 w:val="22"/>
                <w:szCs w:val="22"/>
                <w:lang w:val="es-EC" w:eastAsia="en-US"/>
              </w:rPr>
              <w:t xml:space="preserve">Plan Nacional del Buen Vivir </w:t>
            </w:r>
          </w:p>
          <w:p w:rsidR="00E516F3" w:rsidRPr="00782FD2" w:rsidRDefault="00E516F3" w:rsidP="00A8526F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</w:pPr>
            <w:r w:rsidRPr="00782FD2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val="es-EC" w:eastAsia="en-US"/>
              </w:rPr>
              <w:t>Objetivo 1</w:t>
            </w:r>
            <w:r w:rsidRPr="00782FD2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 xml:space="preserve">.- Consolidar el Estado democrático y la construcción del poder popular.  </w:t>
            </w:r>
          </w:p>
          <w:p w:rsidR="00350BBE" w:rsidRPr="00782FD2" w:rsidRDefault="00E516F3" w:rsidP="00A8526F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</w:pPr>
            <w:r w:rsidRPr="00782FD2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 xml:space="preserve">Política 1.2.- Garantizar la prestación de servicios públicos de calidad con calidez  </w:t>
            </w:r>
          </w:p>
          <w:p w:rsidR="00E516F3" w:rsidRPr="00782FD2" w:rsidRDefault="00E516F3" w:rsidP="00A8526F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</w:pPr>
            <w:r w:rsidRPr="00782FD2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 xml:space="preserve">Literal d.- Implementar modelos de prestación de servicios públicos </w:t>
            </w:r>
            <w:proofErr w:type="spellStart"/>
            <w:r w:rsidRPr="00782FD2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>territorializados</w:t>
            </w:r>
            <w:proofErr w:type="spellEnd"/>
            <w:r w:rsidRPr="00782FD2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 xml:space="preserve"> con estándares de calidad y satisfacción de la ciudadanía. </w:t>
            </w:r>
          </w:p>
          <w:p w:rsidR="00304887" w:rsidRPr="00782FD2" w:rsidRDefault="00304887" w:rsidP="00A8526F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</w:pPr>
            <w:r w:rsidRPr="00782FD2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lastRenderedPageBreak/>
              <w:t xml:space="preserve">Objetivo 3.- Mejorar la Calidad de Vida de la Población </w:t>
            </w:r>
          </w:p>
          <w:p w:rsidR="00304887" w:rsidRPr="00782FD2" w:rsidRDefault="00304887" w:rsidP="00A8526F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Theme="minorHAnsi" w:hAnsi="Arial" w:cs="Arial"/>
                <w:sz w:val="22"/>
                <w:szCs w:val="22"/>
                <w:lang w:val="es-EC" w:eastAsia="en-US"/>
              </w:rPr>
            </w:pPr>
            <w:r w:rsidRPr="00782FD2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>Política 3.1.-</w:t>
            </w:r>
            <w:r w:rsidRPr="00782FD2">
              <w:rPr>
                <w:rFonts w:ascii="Arial" w:eastAsiaTheme="minorHAnsi" w:hAnsi="Arial" w:cs="Arial"/>
                <w:b/>
                <w:bCs/>
                <w:sz w:val="22"/>
                <w:szCs w:val="22"/>
                <w:lang w:val="es-EC" w:eastAsia="en-US"/>
              </w:rPr>
              <w:t xml:space="preserve"> </w:t>
            </w:r>
            <w:r w:rsidRPr="00782FD2">
              <w:rPr>
                <w:rFonts w:ascii="Arial" w:eastAsiaTheme="minorHAnsi" w:hAnsi="Arial" w:cs="Arial"/>
                <w:sz w:val="22"/>
                <w:szCs w:val="22"/>
                <w:lang w:val="es-EC" w:eastAsia="en-US"/>
              </w:rPr>
              <w:t>Promover el mejoramiento de la calidad en la prestación de servicios de atención que componen el Sistema Nacional de Inclusión y Equidad Social</w:t>
            </w:r>
          </w:p>
          <w:p w:rsidR="00304887" w:rsidRPr="00782FD2" w:rsidRDefault="00304887" w:rsidP="00A8526F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</w:pPr>
            <w:r w:rsidRPr="00782FD2">
              <w:rPr>
                <w:rFonts w:ascii="Arial" w:eastAsiaTheme="minorHAnsi" w:hAnsi="Arial" w:cs="Arial"/>
                <w:sz w:val="22"/>
                <w:szCs w:val="22"/>
                <w:lang w:val="es-EC" w:eastAsia="en-US"/>
              </w:rPr>
              <w:t xml:space="preserve">Literal </w:t>
            </w:r>
            <w:r w:rsidRPr="00782FD2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>h.-  Definir la institucionalidad y la estructura orgánica necesaria para la operación de los sistemas de calidad de servicios sociales.</w:t>
            </w:r>
          </w:p>
          <w:p w:rsidR="00304887" w:rsidRPr="00782FD2" w:rsidRDefault="00304887" w:rsidP="00A8526F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eastAsiaTheme="minorHAnsi" w:hAnsi="Arial" w:cs="Arial"/>
                <w:sz w:val="22"/>
                <w:szCs w:val="22"/>
                <w:lang w:val="es-EC" w:eastAsia="en-US"/>
              </w:rPr>
            </w:pPr>
            <w:r w:rsidRPr="00782FD2">
              <w:rPr>
                <w:rFonts w:ascii="Arial" w:eastAsiaTheme="minorHAnsi" w:hAnsi="Arial" w:cs="Arial"/>
                <w:sz w:val="22"/>
                <w:szCs w:val="22"/>
                <w:lang w:val="es-EC" w:eastAsia="en-US"/>
              </w:rPr>
              <w:t>Política 3.10.- Garantizar el acceso universal, permanente, sostenible y con calidad a agua segura y a servicios básicos de saneamiento, con pertinencia territorial, ambiental, social y cultural</w:t>
            </w:r>
          </w:p>
          <w:p w:rsidR="00304887" w:rsidRPr="00782FD2" w:rsidRDefault="00304887" w:rsidP="00A8526F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</w:pPr>
            <w:r w:rsidRPr="00782FD2">
              <w:rPr>
                <w:rFonts w:ascii="Arial" w:eastAsiaTheme="minorHAnsi" w:hAnsi="Arial" w:cs="Arial"/>
                <w:sz w:val="22"/>
                <w:szCs w:val="22"/>
                <w:lang w:val="es-EC" w:eastAsia="en-US"/>
              </w:rPr>
              <w:t xml:space="preserve">Literal </w:t>
            </w:r>
            <w:r w:rsidRPr="00782FD2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>b.-  Fortalecer la capacidad de regulación, planificación y gestión de los distintos niveles de gobierno p ara lograr eficiencia y sostenibilidad en los servicios de agua y saneamiento.</w:t>
            </w:r>
          </w:p>
          <w:p w:rsidR="00304887" w:rsidRPr="00782FD2" w:rsidRDefault="00304887" w:rsidP="00A8526F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</w:pPr>
            <w:r w:rsidRPr="00782FD2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>Literal g.  Generar un marco normativo y fortalecer las capacidades de regulación y evaluación independiente de los servicios de agua y saneamiento a nivel territorial.</w:t>
            </w:r>
          </w:p>
          <w:p w:rsidR="00304887" w:rsidRPr="00782FD2" w:rsidRDefault="00304887" w:rsidP="00A8526F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</w:pPr>
            <w:r w:rsidRPr="00782FD2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 xml:space="preserve">Objetivo 7.- Garantizar los derechos de la naturaleza y promover la sostenibilidad ambiental territorial y global </w:t>
            </w:r>
          </w:p>
          <w:p w:rsidR="00C470DB" w:rsidRPr="00782FD2" w:rsidRDefault="00C470DB" w:rsidP="00A8526F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eastAsiaTheme="minorHAnsi" w:hAnsi="Arial" w:cs="Arial"/>
                <w:sz w:val="22"/>
                <w:szCs w:val="22"/>
                <w:lang w:val="es-EC" w:eastAsia="en-US"/>
              </w:rPr>
            </w:pPr>
            <w:r w:rsidRPr="00782FD2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 xml:space="preserve">Política 7.6.- </w:t>
            </w:r>
            <w:r w:rsidRPr="00782FD2">
              <w:rPr>
                <w:rFonts w:ascii="Arial" w:eastAsiaTheme="minorHAnsi" w:hAnsi="Arial" w:cs="Arial"/>
                <w:sz w:val="22"/>
                <w:szCs w:val="22"/>
                <w:lang w:val="es-EC" w:eastAsia="en-US"/>
              </w:rPr>
              <w:t xml:space="preserve">Gestionar de manera sustentable y participativa el patrimonio hídrico,  con enfoque de cuencas y caudales ecológicos para asegurar el derecho  humano al agua </w:t>
            </w:r>
          </w:p>
          <w:p w:rsidR="00C470DB" w:rsidRPr="00782FD2" w:rsidRDefault="00C470DB" w:rsidP="00A8526F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</w:pPr>
            <w:r w:rsidRPr="00782FD2">
              <w:rPr>
                <w:rFonts w:ascii="Arial" w:eastAsiaTheme="minorHAnsi" w:hAnsi="Arial" w:cs="Arial"/>
                <w:sz w:val="22"/>
                <w:szCs w:val="22"/>
                <w:lang w:val="es-EC" w:eastAsia="en-US"/>
              </w:rPr>
              <w:t xml:space="preserve">Literal </w:t>
            </w:r>
            <w:r w:rsidRPr="00782FD2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>a.- Armonizar el marco normativo e institucional del patrimonio hídrico como bien público, para fortalecer su rectoría, regulación, control técnico, gestión, planificación, coordinación y evaluación de manera coordinada, desconcentrada y descentralizada.</w:t>
            </w:r>
          </w:p>
          <w:p w:rsidR="00EE4681" w:rsidRPr="00782FD2" w:rsidRDefault="00EE4681" w:rsidP="00A8526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 w:rsidRPr="00782FD2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Objetivos de Desarrollo Sostenible</w:t>
            </w:r>
          </w:p>
          <w:p w:rsidR="00EE4681" w:rsidRPr="00782FD2" w:rsidRDefault="00EE4681" w:rsidP="00A852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</w:p>
          <w:p w:rsidR="00EE4681" w:rsidRPr="00782FD2" w:rsidRDefault="00EE4681" w:rsidP="00A8526F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782FD2">
              <w:rPr>
                <w:rFonts w:ascii="Arial" w:hAnsi="Arial" w:cs="Arial"/>
                <w:color w:val="000000"/>
                <w:sz w:val="22"/>
                <w:szCs w:val="22"/>
              </w:rPr>
              <w:t xml:space="preserve">Objetivo 6.- Agua Limpia y Saneamiento: </w:t>
            </w:r>
            <w:r w:rsidRPr="00782FD2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Garantizar la disponibilidad de</w:t>
            </w:r>
            <w:r w:rsidRPr="00782FD2">
              <w:rPr>
                <w:rStyle w:val="apple-converted-space"/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 </w:t>
            </w:r>
            <w:hyperlink r:id="rId9" w:tooltip="Agua" w:history="1">
              <w:r w:rsidRPr="00782FD2">
                <w:rPr>
                  <w:rStyle w:val="Hipervnculo"/>
                  <w:rFonts w:ascii="Arial" w:hAnsi="Arial" w:cs="Arial"/>
                  <w:bCs/>
                  <w:color w:val="auto"/>
                  <w:sz w:val="22"/>
                  <w:szCs w:val="22"/>
                  <w:u w:val="none"/>
                  <w:shd w:val="clear" w:color="auto" w:fill="FFFFFF"/>
                </w:rPr>
                <w:t>agua</w:t>
              </w:r>
            </w:hyperlink>
            <w:r w:rsidRPr="00782FD2">
              <w:rPr>
                <w:rStyle w:val="apple-converted-space"/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 </w:t>
            </w:r>
            <w:r w:rsidRPr="00782FD2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y su gestión sostenible y el saneamiento para todos.</w:t>
            </w:r>
          </w:p>
          <w:p w:rsidR="00E61176" w:rsidRPr="00782FD2" w:rsidRDefault="00EE4681" w:rsidP="00A8526F">
            <w:pPr>
              <w:pStyle w:val="Prrafodelista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lang w:val="es-EC" w:eastAsia="es-EC"/>
              </w:rPr>
            </w:pPr>
            <w:r w:rsidRPr="00782FD2">
              <w:rPr>
                <w:rFonts w:ascii="Arial" w:eastAsia="Times New Roman" w:hAnsi="Arial" w:cs="Arial"/>
                <w:lang w:eastAsia="es-EC"/>
              </w:rPr>
              <w:t xml:space="preserve">Para 2030, lograr el acceso universal y </w:t>
            </w:r>
            <w:r w:rsidRPr="00782FD2">
              <w:rPr>
                <w:rFonts w:ascii="Arial" w:eastAsia="Times New Roman" w:hAnsi="Arial" w:cs="Arial"/>
                <w:lang w:eastAsia="es-EC"/>
              </w:rPr>
              <w:lastRenderedPageBreak/>
              <w:t xml:space="preserve">equitativo al agua </w:t>
            </w:r>
            <w:bookmarkStart w:id="0" w:name="_GoBack"/>
            <w:r w:rsidRPr="00782FD2">
              <w:rPr>
                <w:rFonts w:ascii="Arial" w:eastAsia="Times New Roman" w:hAnsi="Arial" w:cs="Arial"/>
                <w:lang w:eastAsia="es-EC"/>
              </w:rPr>
              <w:t>potable</w:t>
            </w:r>
            <w:bookmarkEnd w:id="0"/>
            <w:r w:rsidRPr="00782FD2">
              <w:rPr>
                <w:rFonts w:ascii="Arial" w:eastAsia="Times New Roman" w:hAnsi="Arial" w:cs="Arial"/>
                <w:lang w:eastAsia="es-EC"/>
              </w:rPr>
              <w:t>, a un precio asequible para todos</w:t>
            </w:r>
          </w:p>
          <w:p w:rsidR="00E61176" w:rsidRPr="00782FD2" w:rsidRDefault="00EA17D0" w:rsidP="00A8526F">
            <w:pPr>
              <w:pStyle w:val="Prrafodelista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after="24" w:line="240" w:lineRule="auto"/>
              <w:jc w:val="both"/>
              <w:rPr>
                <w:rFonts w:ascii="Arial" w:eastAsia="Times New Roman" w:hAnsi="Arial" w:cs="Arial"/>
                <w:lang w:val="es-EC" w:eastAsia="es-EC"/>
              </w:rPr>
            </w:pPr>
            <w:r w:rsidRPr="00782FD2">
              <w:rPr>
                <w:rFonts w:ascii="Arial" w:eastAsia="Times New Roman" w:hAnsi="Arial" w:cs="Arial"/>
                <w:lang w:val="es-EC" w:eastAsia="es-EC"/>
              </w:rPr>
              <w:t>Para 2030, poner en práctica la gestión integrada de los recursos hídricos a todos los niveles, incluso mediante la cooperación transfronteriza, según proceda</w:t>
            </w:r>
            <w:r w:rsidR="00E61176" w:rsidRPr="00782FD2">
              <w:rPr>
                <w:rFonts w:ascii="Arial" w:eastAsia="Times New Roman" w:hAnsi="Arial" w:cs="Arial"/>
                <w:lang w:val="es-EC" w:eastAsia="es-EC"/>
              </w:rPr>
              <w:t xml:space="preserve"> </w:t>
            </w:r>
          </w:p>
          <w:p w:rsidR="00EA17D0" w:rsidRPr="00782FD2" w:rsidRDefault="00222C9A" w:rsidP="00A8526F">
            <w:pPr>
              <w:pStyle w:val="Prrafodelista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after="24" w:line="240" w:lineRule="auto"/>
              <w:jc w:val="both"/>
              <w:rPr>
                <w:rFonts w:ascii="Arial" w:eastAsia="Times New Roman" w:hAnsi="Arial" w:cs="Arial"/>
                <w:lang w:val="es-EC" w:eastAsia="es-EC"/>
              </w:rPr>
            </w:pPr>
            <w:r w:rsidRPr="00782FD2">
              <w:rPr>
                <w:rFonts w:ascii="Arial" w:eastAsia="Times New Roman" w:hAnsi="Arial" w:cs="Arial"/>
                <w:lang w:val="es-EC" w:eastAsia="es-EC"/>
              </w:rPr>
              <w:t>Apoyar y fortalecer la participación de las comunidades locales en la mejora de la gestión del agua y el saneamiento</w:t>
            </w:r>
          </w:p>
          <w:p w:rsidR="00E516F3" w:rsidRPr="00782FD2" w:rsidRDefault="00E516F3" w:rsidP="00A8526F">
            <w:pPr>
              <w:autoSpaceDE w:val="0"/>
              <w:autoSpaceDN w:val="0"/>
              <w:adjustRightInd w:val="0"/>
              <w:spacing w:before="240"/>
              <w:rPr>
                <w:rFonts w:ascii="Arial" w:eastAsiaTheme="minorHAnsi" w:hAnsi="Arial" w:cs="Arial"/>
                <w:sz w:val="22"/>
                <w:szCs w:val="22"/>
                <w:lang w:val="es-EC" w:eastAsia="en-US"/>
              </w:rPr>
            </w:pPr>
            <w:r w:rsidRPr="00782FD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val="es-EC" w:eastAsia="en-US"/>
              </w:rPr>
              <w:t>Código  Orgánico  de Organización</w:t>
            </w:r>
            <w:r w:rsidR="00E61176" w:rsidRPr="00782FD2">
              <w:rPr>
                <w:rFonts w:ascii="Arial" w:eastAsiaTheme="minorHAnsi" w:hAnsi="Arial" w:cs="Arial"/>
                <w:sz w:val="22"/>
                <w:szCs w:val="22"/>
                <w:lang w:val="es-EC" w:eastAsia="en-US"/>
              </w:rPr>
              <w:t xml:space="preserve"> </w:t>
            </w:r>
            <w:r w:rsidRPr="00782FD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val="es-EC" w:eastAsia="en-US"/>
              </w:rPr>
              <w:t>Territorial, Autonomía  y  Descentralización 2012</w:t>
            </w:r>
          </w:p>
          <w:p w:rsidR="00E516F3" w:rsidRPr="00782FD2" w:rsidRDefault="00E516F3" w:rsidP="00A8526F">
            <w:pPr>
              <w:autoSpaceDE w:val="0"/>
              <w:autoSpaceDN w:val="0"/>
              <w:adjustRightInd w:val="0"/>
              <w:jc w:val="both"/>
              <w:rPr>
                <w:rFonts w:ascii="Arial" w:eastAsia="UtopiaStd-Regular" w:hAnsi="Arial" w:cs="Arial"/>
                <w:color w:val="FF0000"/>
                <w:sz w:val="22"/>
                <w:szCs w:val="22"/>
                <w:lang w:val="es-EC" w:eastAsia="en-US"/>
              </w:rPr>
            </w:pPr>
            <w:r w:rsidRPr="00782FD2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>Sección Primera. Gestión Directa Artículos No. 276 a 293</w:t>
            </w:r>
          </w:p>
        </w:tc>
      </w:tr>
      <w:tr w:rsidR="003E3485" w:rsidTr="004D5A80">
        <w:trPr>
          <w:trHeight w:val="982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782FD2" w:rsidRDefault="00112102" w:rsidP="009112A5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782FD2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lastRenderedPageBreak/>
              <w:t>REFERENCIAS BIBLIOGRÁFICAS DE LA CONSTRUCCIÓN DEL INDICADOR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16F3" w:rsidRPr="00782FD2" w:rsidRDefault="00E516F3" w:rsidP="000A628B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C"/>
              </w:rPr>
            </w:pPr>
            <w:r w:rsidRPr="00782FD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C"/>
              </w:rPr>
              <w:t xml:space="preserve">Código  Orgánico  de Organización  Territorial, Autonomía  y  Descentralización 2012 </w:t>
            </w:r>
          </w:p>
          <w:p w:rsidR="00E516F3" w:rsidRPr="00782FD2" w:rsidRDefault="00E516F3" w:rsidP="000A628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</w:pPr>
            <w:r w:rsidRPr="00782FD2"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  <w:t xml:space="preserve">Sección Primera. </w:t>
            </w:r>
          </w:p>
          <w:p w:rsidR="00E516F3" w:rsidRPr="00782FD2" w:rsidRDefault="00E516F3" w:rsidP="000A628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</w:pPr>
            <w:r w:rsidRPr="00782FD2"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  <w:t xml:space="preserve">Gestión Directa </w:t>
            </w:r>
          </w:p>
          <w:p w:rsidR="00E516F3" w:rsidRPr="00782FD2" w:rsidRDefault="00E516F3" w:rsidP="000A628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</w:pPr>
            <w:r w:rsidRPr="00782FD2"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  <w:t xml:space="preserve">Artículos No. 276 a 293  </w:t>
            </w:r>
          </w:p>
          <w:p w:rsidR="00E516F3" w:rsidRPr="00782FD2" w:rsidRDefault="00E516F3" w:rsidP="000A628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</w:pPr>
          </w:p>
          <w:p w:rsidR="00BD761E" w:rsidRPr="00782FD2" w:rsidRDefault="00E516F3" w:rsidP="000A628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</w:pPr>
            <w:r w:rsidRPr="00782FD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C"/>
              </w:rPr>
              <w:t xml:space="preserve">Plan Nacional del Buen Vivir 2013-2017 </w:t>
            </w:r>
          </w:p>
          <w:p w:rsidR="00AA4146" w:rsidRPr="00782FD2" w:rsidRDefault="00AA4146" w:rsidP="000A628B">
            <w:pPr>
              <w:spacing w:before="240"/>
              <w:jc w:val="both"/>
              <w:rPr>
                <w:rFonts w:ascii="Arial" w:eastAsia="Times New Roman" w:hAnsi="Arial" w:cs="Arial"/>
                <w:b/>
                <w:color w:val="FF0000"/>
                <w:sz w:val="22"/>
                <w:szCs w:val="22"/>
                <w:lang w:val="es-EC"/>
              </w:rPr>
            </w:pPr>
            <w:r w:rsidRPr="00782FD2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val="es-EC"/>
              </w:rPr>
              <w:t>Objetivos de Desarrollo Sostenible,  Agenda  2030</w:t>
            </w:r>
          </w:p>
        </w:tc>
      </w:tr>
      <w:tr w:rsidR="003E3485" w:rsidTr="004D5A80">
        <w:trPr>
          <w:trHeight w:val="799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782FD2" w:rsidRDefault="00112102" w:rsidP="009112A5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782FD2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FECHA DE ELABORACIÓN DE LA FICHA METODOLÓGICA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102" w:rsidRPr="00782FD2" w:rsidRDefault="00E61176" w:rsidP="00156638">
            <w:pPr>
              <w:rPr>
                <w:rFonts w:ascii="Arial" w:eastAsiaTheme="minorEastAsia" w:hAnsi="Arial" w:cs="Arial"/>
                <w:color w:val="FF0000"/>
                <w:sz w:val="22"/>
                <w:szCs w:val="22"/>
                <w:lang w:val="es-EC" w:eastAsia="es-EC"/>
              </w:rPr>
            </w:pPr>
            <w:r w:rsidRPr="00782FD2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04/10</w:t>
            </w:r>
            <w:r w:rsidR="00112102" w:rsidRPr="00782FD2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/201</w:t>
            </w:r>
            <w:r w:rsidR="00E516F3" w:rsidRPr="00782FD2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6</w:t>
            </w:r>
          </w:p>
        </w:tc>
      </w:tr>
      <w:tr w:rsidR="003E3485" w:rsidTr="004D5A80">
        <w:trPr>
          <w:trHeight w:val="781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782FD2" w:rsidRDefault="00112102" w:rsidP="009112A5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782FD2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FECHA DE LA ÚLTIMA ACTUALIZACIÓN DE LA FICHA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102" w:rsidRPr="00782FD2" w:rsidRDefault="00E61176" w:rsidP="00324A1F">
            <w:pPr>
              <w:rPr>
                <w:rFonts w:ascii="Arial" w:eastAsia="Times New Roman" w:hAnsi="Arial" w:cs="Arial"/>
                <w:color w:val="FF0000"/>
                <w:sz w:val="22"/>
                <w:szCs w:val="22"/>
                <w:lang w:val="es-EC"/>
              </w:rPr>
            </w:pPr>
            <w:r w:rsidRPr="00782FD2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04/10</w:t>
            </w:r>
            <w:r w:rsidR="00E516F3" w:rsidRPr="00782FD2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/2016</w:t>
            </w:r>
          </w:p>
        </w:tc>
      </w:tr>
      <w:tr w:rsidR="00FA1B15" w:rsidTr="004D5A80">
        <w:trPr>
          <w:trHeight w:val="617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782FD2" w:rsidRDefault="00112102" w:rsidP="009112A5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782FD2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CLASIFICADOR SECTORIAL</w:t>
            </w:r>
          </w:p>
        </w:tc>
        <w:tc>
          <w:tcPr>
            <w:tcW w:w="1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782FD2" w:rsidRDefault="00E26E8C" w:rsidP="00F47515">
            <w:pPr>
              <w:rPr>
                <w:rFonts w:ascii="Arial" w:eastAsia="Times New Roman" w:hAnsi="Arial" w:cs="Arial"/>
                <w:sz w:val="22"/>
                <w:szCs w:val="22"/>
                <w:lang w:val="es-EC"/>
              </w:rPr>
            </w:pPr>
            <w:r w:rsidRPr="00782FD2">
              <w:rPr>
                <w:rFonts w:ascii="Arial" w:hAnsi="Arial" w:cs="Arial"/>
                <w:sz w:val="22"/>
                <w:szCs w:val="22"/>
              </w:rPr>
              <w:t>Ambiente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782FD2" w:rsidRDefault="00112102" w:rsidP="00E26E8C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val="es-EC"/>
              </w:rPr>
            </w:pPr>
            <w:r w:rsidRPr="00782FD2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0</w:t>
            </w:r>
            <w:r w:rsidR="00E26E8C" w:rsidRPr="00782FD2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2</w:t>
            </w:r>
          </w:p>
        </w:tc>
      </w:tr>
      <w:tr w:rsidR="003E3485" w:rsidTr="004D5A80">
        <w:trPr>
          <w:trHeight w:val="414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782FD2" w:rsidRDefault="00112102" w:rsidP="009112A5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782FD2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ELABORADO POR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782FD2" w:rsidRDefault="00A33B1E" w:rsidP="009112A5">
            <w:pPr>
              <w:jc w:val="both"/>
              <w:rPr>
                <w:rFonts w:ascii="Arial" w:eastAsia="Times New Roman" w:hAnsi="Arial" w:cs="Arial"/>
                <w:color w:val="FF0000"/>
                <w:sz w:val="22"/>
                <w:szCs w:val="22"/>
                <w:lang w:val="es-EC"/>
              </w:rPr>
            </w:pPr>
            <w:r w:rsidRPr="00782FD2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Dirección de Estadísticas Agropecuarias y Ambientales - Instituto Nacional de Estadística y Censos (INEC).</w:t>
            </w:r>
          </w:p>
        </w:tc>
      </w:tr>
    </w:tbl>
    <w:p w:rsidR="005D5A90" w:rsidRDefault="003E7B4E" w:rsidP="00316342"/>
    <w:p w:rsidR="007B695A" w:rsidRDefault="007B695A" w:rsidP="00D814C7">
      <w:pPr>
        <w:ind w:left="708" w:hanging="708"/>
      </w:pPr>
    </w:p>
    <w:tbl>
      <w:tblPr>
        <w:tblW w:w="9600" w:type="dxa"/>
        <w:jc w:val="center"/>
        <w:tblCellSpacing w:w="22" w:type="dxa"/>
        <w:tblInd w:w="504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1"/>
        <w:gridCol w:w="5089"/>
      </w:tblGrid>
      <w:tr w:rsidR="00415F37" w:rsidRPr="00B1328E" w:rsidTr="00D05C6E">
        <w:trPr>
          <w:trHeight w:val="304"/>
          <w:tblCellSpacing w:w="22" w:type="dxa"/>
          <w:jc w:val="center"/>
        </w:trPr>
        <w:tc>
          <w:tcPr>
            <w:tcW w:w="9512" w:type="dxa"/>
            <w:gridSpan w:val="2"/>
            <w:tcBorders>
              <w:top w:val="threeDEmboss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 w:themeFill="text2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F37" w:rsidRPr="007B695A" w:rsidRDefault="00415F37" w:rsidP="00D05C6E">
            <w:pPr>
              <w:jc w:val="center"/>
              <w:rPr>
                <w:rFonts w:ascii="Arial" w:hAnsi="Arial" w:cs="Arial"/>
                <w:b/>
                <w:bCs/>
                <w:lang w:val="es-EC"/>
              </w:rPr>
            </w:pPr>
            <w:r w:rsidRPr="007B695A">
              <w:rPr>
                <w:rFonts w:ascii="Arial" w:hAnsi="Arial" w:cs="Arial"/>
                <w:b/>
                <w:bCs/>
                <w:sz w:val="22"/>
                <w:szCs w:val="22"/>
                <w:lang w:val="es-EC"/>
              </w:rPr>
              <w:t>ANEXOS</w:t>
            </w:r>
          </w:p>
        </w:tc>
      </w:tr>
      <w:tr w:rsidR="00415F37" w:rsidRPr="00B1328E" w:rsidTr="00D05C6E">
        <w:trPr>
          <w:trHeight w:val="304"/>
          <w:tblCellSpacing w:w="22" w:type="dxa"/>
          <w:jc w:val="center"/>
        </w:trPr>
        <w:tc>
          <w:tcPr>
            <w:tcW w:w="9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 w:themeFill="text2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F37" w:rsidRPr="007B695A" w:rsidRDefault="00415F37" w:rsidP="00D05C6E">
            <w:pPr>
              <w:jc w:val="center"/>
              <w:rPr>
                <w:rFonts w:ascii="Arial" w:eastAsiaTheme="minorHAnsi" w:hAnsi="Arial" w:cs="Arial"/>
                <w:b/>
                <w:bCs/>
                <w:lang w:val="es-EC"/>
              </w:rPr>
            </w:pPr>
            <w:r w:rsidRPr="007B695A">
              <w:rPr>
                <w:rFonts w:ascii="Arial" w:hAnsi="Arial" w:cs="Arial"/>
                <w:b/>
                <w:bCs/>
                <w:sz w:val="22"/>
                <w:szCs w:val="22"/>
                <w:lang w:val="es-EC"/>
              </w:rPr>
              <w:t>ANEXO 1: Algoritmo de cálculo del Indicador</w:t>
            </w:r>
          </w:p>
        </w:tc>
      </w:tr>
      <w:tr w:rsidR="00415F37" w:rsidRPr="00B1328E" w:rsidTr="00D05C6E">
        <w:trPr>
          <w:trHeight w:val="321"/>
          <w:tblCellSpacing w:w="22" w:type="dxa"/>
          <w:jc w:val="center"/>
        </w:trPr>
        <w:tc>
          <w:tcPr>
            <w:tcW w:w="9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F37" w:rsidRPr="00B1328E" w:rsidRDefault="00415F37" w:rsidP="00D05C6E">
            <w:pPr>
              <w:jc w:val="center"/>
              <w:rPr>
                <w:rFonts w:ascii="Arial" w:eastAsiaTheme="minorHAnsi" w:hAnsi="Arial" w:cs="Arial"/>
                <w:b/>
                <w:bCs/>
                <w:lang w:val="es-EC"/>
              </w:rPr>
            </w:pPr>
            <w:r w:rsidRPr="00B1328E">
              <w:rPr>
                <w:rFonts w:ascii="Arial" w:hAnsi="Arial" w:cs="Arial"/>
                <w:b/>
                <w:bCs/>
                <w:sz w:val="22"/>
                <w:szCs w:val="22"/>
                <w:lang w:val="es-EC"/>
              </w:rPr>
              <w:t xml:space="preserve">SINTAXIS </w:t>
            </w:r>
          </w:p>
        </w:tc>
      </w:tr>
      <w:tr w:rsidR="00415F37" w:rsidRPr="00C653EF" w:rsidTr="00D05C6E">
        <w:trPr>
          <w:trHeight w:val="492"/>
          <w:tblCellSpacing w:w="22" w:type="dxa"/>
          <w:jc w:val="center"/>
        </w:trPr>
        <w:tc>
          <w:tcPr>
            <w:tcW w:w="9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5F37" w:rsidRPr="00C653EF" w:rsidRDefault="00415F37" w:rsidP="00B95443">
            <w:pPr>
              <w:widowControl w:val="0"/>
              <w:autoSpaceDE w:val="0"/>
              <w:autoSpaceDN w:val="0"/>
              <w:adjustRightInd w:val="0"/>
              <w:spacing w:after="240" w:line="198" w:lineRule="exact"/>
              <w:rPr>
                <w:rFonts w:ascii="Courier New" w:hAnsi="Courier New" w:cs="Courier New"/>
                <w:color w:val="000000"/>
                <w:position w:val="1"/>
                <w:sz w:val="18"/>
                <w:szCs w:val="18"/>
              </w:rPr>
            </w:pPr>
          </w:p>
        </w:tc>
      </w:tr>
      <w:tr w:rsidR="00415F37" w:rsidRPr="00B1328E" w:rsidTr="00D05C6E">
        <w:trPr>
          <w:trHeight w:val="456"/>
          <w:tblCellSpacing w:w="22" w:type="dxa"/>
          <w:jc w:val="center"/>
        </w:trPr>
        <w:tc>
          <w:tcPr>
            <w:tcW w:w="4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F37" w:rsidRPr="00B1328E" w:rsidRDefault="00415F37" w:rsidP="00D05C6E">
            <w:pPr>
              <w:jc w:val="both"/>
              <w:rPr>
                <w:rFonts w:ascii="Arial" w:eastAsiaTheme="minorHAnsi" w:hAnsi="Arial" w:cs="Arial"/>
                <w:b/>
                <w:bCs/>
                <w:lang w:val="es-EC"/>
              </w:rPr>
            </w:pPr>
            <w:r w:rsidRPr="00B1328E">
              <w:rPr>
                <w:rFonts w:ascii="Arial" w:hAnsi="Arial" w:cs="Arial"/>
                <w:b/>
                <w:bCs/>
                <w:sz w:val="22"/>
                <w:szCs w:val="22"/>
                <w:lang w:val="es-EC"/>
              </w:rPr>
              <w:t>AÑO DE REFERENCIA DE LA SINTAXIS</w:t>
            </w:r>
          </w:p>
        </w:tc>
        <w:tc>
          <w:tcPr>
            <w:tcW w:w="5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F37" w:rsidRPr="00B1328E" w:rsidRDefault="00A030F8" w:rsidP="00D05C6E">
            <w:pPr>
              <w:jc w:val="both"/>
              <w:rPr>
                <w:rFonts w:ascii="Arial" w:eastAsiaTheme="minorHAnsi" w:hAnsi="Arial" w:cs="Arial"/>
                <w:lang w:val="es-EC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val="es-EC"/>
              </w:rPr>
              <w:t>2015</w:t>
            </w:r>
          </w:p>
        </w:tc>
      </w:tr>
    </w:tbl>
    <w:p w:rsidR="00415F37" w:rsidRDefault="00415F37" w:rsidP="005328F3"/>
    <w:sectPr w:rsidR="00415F37" w:rsidSect="00DC6C6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B4E" w:rsidRDefault="003E7B4E" w:rsidP="00824626">
      <w:r>
        <w:separator/>
      </w:r>
    </w:p>
  </w:endnote>
  <w:endnote w:type="continuationSeparator" w:id="0">
    <w:p w:rsidR="003E7B4E" w:rsidRDefault="003E7B4E" w:rsidP="00824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GNFCH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UtopiaStd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B4E" w:rsidRDefault="003E7B4E" w:rsidP="00824626">
      <w:r>
        <w:separator/>
      </w:r>
    </w:p>
  </w:footnote>
  <w:footnote w:type="continuationSeparator" w:id="0">
    <w:p w:rsidR="003E7B4E" w:rsidRDefault="003E7B4E" w:rsidP="008246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37920"/>
    <w:multiLevelType w:val="hybridMultilevel"/>
    <w:tmpl w:val="159EA672"/>
    <w:lvl w:ilvl="0" w:tplc="85E2AB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B36B68"/>
    <w:multiLevelType w:val="multilevel"/>
    <w:tmpl w:val="940E4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6027A38"/>
    <w:multiLevelType w:val="hybridMultilevel"/>
    <w:tmpl w:val="34A4F66C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CF3332"/>
    <w:multiLevelType w:val="multilevel"/>
    <w:tmpl w:val="97F2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64D4C05"/>
    <w:multiLevelType w:val="hybridMultilevel"/>
    <w:tmpl w:val="294E1A14"/>
    <w:lvl w:ilvl="0" w:tplc="85E2AB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1546BC"/>
    <w:multiLevelType w:val="hybridMultilevel"/>
    <w:tmpl w:val="DBBC3D9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5A341B"/>
    <w:multiLevelType w:val="hybridMultilevel"/>
    <w:tmpl w:val="4F84F68E"/>
    <w:lvl w:ilvl="0" w:tplc="85E2AB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B15"/>
    <w:rsid w:val="000053D4"/>
    <w:rsid w:val="00027267"/>
    <w:rsid w:val="0002778C"/>
    <w:rsid w:val="00053307"/>
    <w:rsid w:val="00056DAF"/>
    <w:rsid w:val="00063680"/>
    <w:rsid w:val="00073D37"/>
    <w:rsid w:val="00085ABA"/>
    <w:rsid w:val="00091A22"/>
    <w:rsid w:val="000A2799"/>
    <w:rsid w:val="000A628B"/>
    <w:rsid w:val="000C79AC"/>
    <w:rsid w:val="000D072C"/>
    <w:rsid w:val="000D68B0"/>
    <w:rsid w:val="000D7B6D"/>
    <w:rsid w:val="000E4D51"/>
    <w:rsid w:val="000F2676"/>
    <w:rsid w:val="000F36A3"/>
    <w:rsid w:val="000F79EC"/>
    <w:rsid w:val="00103247"/>
    <w:rsid w:val="00112102"/>
    <w:rsid w:val="00114EDE"/>
    <w:rsid w:val="00117582"/>
    <w:rsid w:val="00117656"/>
    <w:rsid w:val="00123FE4"/>
    <w:rsid w:val="0014528E"/>
    <w:rsid w:val="00156638"/>
    <w:rsid w:val="00181BB4"/>
    <w:rsid w:val="001851B3"/>
    <w:rsid w:val="0019417D"/>
    <w:rsid w:val="0019483D"/>
    <w:rsid w:val="00194D4C"/>
    <w:rsid w:val="00196BE8"/>
    <w:rsid w:val="001A4B9B"/>
    <w:rsid w:val="001A5D42"/>
    <w:rsid w:val="001B0689"/>
    <w:rsid w:val="001B426C"/>
    <w:rsid w:val="001B7CE7"/>
    <w:rsid w:val="001D6689"/>
    <w:rsid w:val="001F7BA8"/>
    <w:rsid w:val="0022240C"/>
    <w:rsid w:val="00222C9A"/>
    <w:rsid w:val="00223F39"/>
    <w:rsid w:val="00242A13"/>
    <w:rsid w:val="00242F64"/>
    <w:rsid w:val="00245815"/>
    <w:rsid w:val="00252015"/>
    <w:rsid w:val="00253C72"/>
    <w:rsid w:val="00263A69"/>
    <w:rsid w:val="00263D02"/>
    <w:rsid w:val="00297447"/>
    <w:rsid w:val="002D20C6"/>
    <w:rsid w:val="002E5C54"/>
    <w:rsid w:val="002F036A"/>
    <w:rsid w:val="002F3C7C"/>
    <w:rsid w:val="00304887"/>
    <w:rsid w:val="00313B1F"/>
    <w:rsid w:val="00316342"/>
    <w:rsid w:val="00317B42"/>
    <w:rsid w:val="00321705"/>
    <w:rsid w:val="00324A1F"/>
    <w:rsid w:val="00330195"/>
    <w:rsid w:val="003372C1"/>
    <w:rsid w:val="003379D8"/>
    <w:rsid w:val="00350BBE"/>
    <w:rsid w:val="003511FF"/>
    <w:rsid w:val="003557EE"/>
    <w:rsid w:val="00363137"/>
    <w:rsid w:val="0037709E"/>
    <w:rsid w:val="00384A5A"/>
    <w:rsid w:val="00386DC6"/>
    <w:rsid w:val="0038707C"/>
    <w:rsid w:val="00387A01"/>
    <w:rsid w:val="00387FE0"/>
    <w:rsid w:val="00397045"/>
    <w:rsid w:val="003D1FD8"/>
    <w:rsid w:val="003E3485"/>
    <w:rsid w:val="003E517F"/>
    <w:rsid w:val="003E7B4E"/>
    <w:rsid w:val="003F2C3C"/>
    <w:rsid w:val="00407208"/>
    <w:rsid w:val="0041114A"/>
    <w:rsid w:val="004138EF"/>
    <w:rsid w:val="00415F37"/>
    <w:rsid w:val="00420B4C"/>
    <w:rsid w:val="00426EE8"/>
    <w:rsid w:val="0042721E"/>
    <w:rsid w:val="00434F3D"/>
    <w:rsid w:val="00436FB2"/>
    <w:rsid w:val="00441972"/>
    <w:rsid w:val="00451A0F"/>
    <w:rsid w:val="00454E70"/>
    <w:rsid w:val="00454E98"/>
    <w:rsid w:val="0045570F"/>
    <w:rsid w:val="004646AC"/>
    <w:rsid w:val="00465530"/>
    <w:rsid w:val="00472E0E"/>
    <w:rsid w:val="00475782"/>
    <w:rsid w:val="00493FBD"/>
    <w:rsid w:val="004B6AEB"/>
    <w:rsid w:val="004B7BDD"/>
    <w:rsid w:val="004B7ED8"/>
    <w:rsid w:val="004D31A9"/>
    <w:rsid w:val="004D5A80"/>
    <w:rsid w:val="004D69C3"/>
    <w:rsid w:val="004F4307"/>
    <w:rsid w:val="004F4F09"/>
    <w:rsid w:val="00501012"/>
    <w:rsid w:val="005043FA"/>
    <w:rsid w:val="00510518"/>
    <w:rsid w:val="00520D79"/>
    <w:rsid w:val="00521064"/>
    <w:rsid w:val="00521E05"/>
    <w:rsid w:val="00523F21"/>
    <w:rsid w:val="00525317"/>
    <w:rsid w:val="00530F98"/>
    <w:rsid w:val="005328F3"/>
    <w:rsid w:val="005375EE"/>
    <w:rsid w:val="0054695E"/>
    <w:rsid w:val="0054728D"/>
    <w:rsid w:val="005553E3"/>
    <w:rsid w:val="00561C0D"/>
    <w:rsid w:val="00570E2A"/>
    <w:rsid w:val="005808D4"/>
    <w:rsid w:val="00583C5C"/>
    <w:rsid w:val="00584FEC"/>
    <w:rsid w:val="0059356C"/>
    <w:rsid w:val="00595794"/>
    <w:rsid w:val="005A4565"/>
    <w:rsid w:val="005B097A"/>
    <w:rsid w:val="005B1237"/>
    <w:rsid w:val="005C3D4D"/>
    <w:rsid w:val="005D541C"/>
    <w:rsid w:val="005D5F57"/>
    <w:rsid w:val="005E0D2E"/>
    <w:rsid w:val="005E2103"/>
    <w:rsid w:val="005F78AA"/>
    <w:rsid w:val="00603389"/>
    <w:rsid w:val="00610E78"/>
    <w:rsid w:val="00633FEB"/>
    <w:rsid w:val="006521D0"/>
    <w:rsid w:val="00661253"/>
    <w:rsid w:val="006676C7"/>
    <w:rsid w:val="0067243B"/>
    <w:rsid w:val="00676737"/>
    <w:rsid w:val="00690E3C"/>
    <w:rsid w:val="00695BA8"/>
    <w:rsid w:val="006A1A0B"/>
    <w:rsid w:val="006A59F5"/>
    <w:rsid w:val="006B00C3"/>
    <w:rsid w:val="006C5B68"/>
    <w:rsid w:val="006D5004"/>
    <w:rsid w:val="006F3C32"/>
    <w:rsid w:val="006F70AC"/>
    <w:rsid w:val="0070448D"/>
    <w:rsid w:val="0070609C"/>
    <w:rsid w:val="00717A28"/>
    <w:rsid w:val="007323CC"/>
    <w:rsid w:val="007400BC"/>
    <w:rsid w:val="00757734"/>
    <w:rsid w:val="00763C15"/>
    <w:rsid w:val="00764EC3"/>
    <w:rsid w:val="007675FF"/>
    <w:rsid w:val="007768CD"/>
    <w:rsid w:val="00780CD0"/>
    <w:rsid w:val="00782FD2"/>
    <w:rsid w:val="00787504"/>
    <w:rsid w:val="007A7B80"/>
    <w:rsid w:val="007B4DAF"/>
    <w:rsid w:val="007B695A"/>
    <w:rsid w:val="007C3D5E"/>
    <w:rsid w:val="007C6C79"/>
    <w:rsid w:val="007C7F63"/>
    <w:rsid w:val="007D08CA"/>
    <w:rsid w:val="007D1B70"/>
    <w:rsid w:val="007D4DAD"/>
    <w:rsid w:val="007E650F"/>
    <w:rsid w:val="007F2A87"/>
    <w:rsid w:val="007F7DAD"/>
    <w:rsid w:val="00810FAE"/>
    <w:rsid w:val="0081464E"/>
    <w:rsid w:val="008227C7"/>
    <w:rsid w:val="00824626"/>
    <w:rsid w:val="008266AC"/>
    <w:rsid w:val="00832F33"/>
    <w:rsid w:val="008353CD"/>
    <w:rsid w:val="0086033A"/>
    <w:rsid w:val="00867224"/>
    <w:rsid w:val="0089715E"/>
    <w:rsid w:val="008B4CDD"/>
    <w:rsid w:val="008C4D85"/>
    <w:rsid w:val="008D02DC"/>
    <w:rsid w:val="008D400F"/>
    <w:rsid w:val="008D4586"/>
    <w:rsid w:val="008D69F6"/>
    <w:rsid w:val="008E2287"/>
    <w:rsid w:val="008E233A"/>
    <w:rsid w:val="008E4E35"/>
    <w:rsid w:val="008E57E3"/>
    <w:rsid w:val="008F2EC3"/>
    <w:rsid w:val="008F7E1F"/>
    <w:rsid w:val="00913EFF"/>
    <w:rsid w:val="00916E28"/>
    <w:rsid w:val="00917079"/>
    <w:rsid w:val="00927A1E"/>
    <w:rsid w:val="00932C96"/>
    <w:rsid w:val="009332F8"/>
    <w:rsid w:val="0093465D"/>
    <w:rsid w:val="009423A8"/>
    <w:rsid w:val="00943765"/>
    <w:rsid w:val="009444E2"/>
    <w:rsid w:val="00950DE8"/>
    <w:rsid w:val="0096696A"/>
    <w:rsid w:val="00984EEE"/>
    <w:rsid w:val="009A3212"/>
    <w:rsid w:val="009A3991"/>
    <w:rsid w:val="009A6362"/>
    <w:rsid w:val="009A6BF0"/>
    <w:rsid w:val="009C1156"/>
    <w:rsid w:val="009C410A"/>
    <w:rsid w:val="009D07C6"/>
    <w:rsid w:val="009D2951"/>
    <w:rsid w:val="009E4729"/>
    <w:rsid w:val="00A030F8"/>
    <w:rsid w:val="00A060BC"/>
    <w:rsid w:val="00A11416"/>
    <w:rsid w:val="00A24BD4"/>
    <w:rsid w:val="00A259A4"/>
    <w:rsid w:val="00A259AA"/>
    <w:rsid w:val="00A33B1E"/>
    <w:rsid w:val="00A469D3"/>
    <w:rsid w:val="00A47C8C"/>
    <w:rsid w:val="00A515C8"/>
    <w:rsid w:val="00A579DD"/>
    <w:rsid w:val="00A73A10"/>
    <w:rsid w:val="00A8526F"/>
    <w:rsid w:val="00A855BD"/>
    <w:rsid w:val="00A87F38"/>
    <w:rsid w:val="00AA4146"/>
    <w:rsid w:val="00AA64F3"/>
    <w:rsid w:val="00AB459E"/>
    <w:rsid w:val="00AB5F8D"/>
    <w:rsid w:val="00AC6EDF"/>
    <w:rsid w:val="00AD4AD7"/>
    <w:rsid w:val="00AD6BBA"/>
    <w:rsid w:val="00AD7749"/>
    <w:rsid w:val="00B05258"/>
    <w:rsid w:val="00B05EAF"/>
    <w:rsid w:val="00B151CA"/>
    <w:rsid w:val="00B16F27"/>
    <w:rsid w:val="00B206C3"/>
    <w:rsid w:val="00B30E7D"/>
    <w:rsid w:val="00B44F00"/>
    <w:rsid w:val="00B54BB2"/>
    <w:rsid w:val="00B701BD"/>
    <w:rsid w:val="00B85835"/>
    <w:rsid w:val="00B95443"/>
    <w:rsid w:val="00B9652B"/>
    <w:rsid w:val="00BA3B19"/>
    <w:rsid w:val="00BA7FFC"/>
    <w:rsid w:val="00BC11A0"/>
    <w:rsid w:val="00BC603C"/>
    <w:rsid w:val="00BC626B"/>
    <w:rsid w:val="00BD761E"/>
    <w:rsid w:val="00BE3BB5"/>
    <w:rsid w:val="00C11FBF"/>
    <w:rsid w:val="00C306E6"/>
    <w:rsid w:val="00C44D05"/>
    <w:rsid w:val="00C45288"/>
    <w:rsid w:val="00C470DB"/>
    <w:rsid w:val="00C47E05"/>
    <w:rsid w:val="00C653EF"/>
    <w:rsid w:val="00C95DAD"/>
    <w:rsid w:val="00CB02FF"/>
    <w:rsid w:val="00CB6C21"/>
    <w:rsid w:val="00CC1DA6"/>
    <w:rsid w:val="00CC2AE8"/>
    <w:rsid w:val="00CC5B27"/>
    <w:rsid w:val="00CD0068"/>
    <w:rsid w:val="00CD4832"/>
    <w:rsid w:val="00CD515F"/>
    <w:rsid w:val="00CE5E29"/>
    <w:rsid w:val="00CF1EC0"/>
    <w:rsid w:val="00CF3722"/>
    <w:rsid w:val="00D041F5"/>
    <w:rsid w:val="00D17D7C"/>
    <w:rsid w:val="00D225EA"/>
    <w:rsid w:val="00D27F35"/>
    <w:rsid w:val="00D365C3"/>
    <w:rsid w:val="00D37F33"/>
    <w:rsid w:val="00D432F9"/>
    <w:rsid w:val="00D6415B"/>
    <w:rsid w:val="00D6782C"/>
    <w:rsid w:val="00D75C38"/>
    <w:rsid w:val="00D77D7C"/>
    <w:rsid w:val="00D814C7"/>
    <w:rsid w:val="00D84220"/>
    <w:rsid w:val="00D85F88"/>
    <w:rsid w:val="00D878D6"/>
    <w:rsid w:val="00D93AAC"/>
    <w:rsid w:val="00D9756A"/>
    <w:rsid w:val="00DA25ED"/>
    <w:rsid w:val="00DA523D"/>
    <w:rsid w:val="00DA5B30"/>
    <w:rsid w:val="00DB1489"/>
    <w:rsid w:val="00DB5DF0"/>
    <w:rsid w:val="00DC0D48"/>
    <w:rsid w:val="00DC2DEC"/>
    <w:rsid w:val="00DC6C6E"/>
    <w:rsid w:val="00DD208A"/>
    <w:rsid w:val="00DD3035"/>
    <w:rsid w:val="00DD44D3"/>
    <w:rsid w:val="00DE01D2"/>
    <w:rsid w:val="00DF37CC"/>
    <w:rsid w:val="00E05323"/>
    <w:rsid w:val="00E13097"/>
    <w:rsid w:val="00E14D41"/>
    <w:rsid w:val="00E1623F"/>
    <w:rsid w:val="00E252F9"/>
    <w:rsid w:val="00E26E8C"/>
    <w:rsid w:val="00E271C1"/>
    <w:rsid w:val="00E30599"/>
    <w:rsid w:val="00E32EA0"/>
    <w:rsid w:val="00E34741"/>
    <w:rsid w:val="00E34DE7"/>
    <w:rsid w:val="00E36CED"/>
    <w:rsid w:val="00E37C65"/>
    <w:rsid w:val="00E4475B"/>
    <w:rsid w:val="00E516F3"/>
    <w:rsid w:val="00E61176"/>
    <w:rsid w:val="00E62844"/>
    <w:rsid w:val="00E74011"/>
    <w:rsid w:val="00E77235"/>
    <w:rsid w:val="00E842B9"/>
    <w:rsid w:val="00E96785"/>
    <w:rsid w:val="00E974F2"/>
    <w:rsid w:val="00EA17D0"/>
    <w:rsid w:val="00EB3EA0"/>
    <w:rsid w:val="00EC44C4"/>
    <w:rsid w:val="00EE0E30"/>
    <w:rsid w:val="00EE41A6"/>
    <w:rsid w:val="00EE4681"/>
    <w:rsid w:val="00F0090E"/>
    <w:rsid w:val="00F024D7"/>
    <w:rsid w:val="00F04B24"/>
    <w:rsid w:val="00F126FF"/>
    <w:rsid w:val="00F20CEF"/>
    <w:rsid w:val="00F216B1"/>
    <w:rsid w:val="00F21934"/>
    <w:rsid w:val="00F261EC"/>
    <w:rsid w:val="00F32911"/>
    <w:rsid w:val="00F3567A"/>
    <w:rsid w:val="00F408D2"/>
    <w:rsid w:val="00F42A43"/>
    <w:rsid w:val="00F4384E"/>
    <w:rsid w:val="00F47515"/>
    <w:rsid w:val="00F6306D"/>
    <w:rsid w:val="00F6737D"/>
    <w:rsid w:val="00F7228C"/>
    <w:rsid w:val="00F80BCC"/>
    <w:rsid w:val="00F8590A"/>
    <w:rsid w:val="00FA1B15"/>
    <w:rsid w:val="00FC739D"/>
    <w:rsid w:val="00FD447B"/>
    <w:rsid w:val="00FD624E"/>
    <w:rsid w:val="00FE15EE"/>
    <w:rsid w:val="00FF3A48"/>
    <w:rsid w:val="00FF50D5"/>
    <w:rsid w:val="00FF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7E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8E57E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7E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7E3"/>
    <w:rPr>
      <w:rFonts w:ascii="Times New Roman" w:eastAsia="Batang" w:hAnsi="Times New Roman" w:cs="Times New Roman"/>
      <w:sz w:val="20"/>
      <w:szCs w:val="20"/>
      <w:lang w:val="es-ES" w:eastAsia="ko-K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7E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7E3"/>
    <w:rPr>
      <w:rFonts w:ascii="Tahoma" w:eastAsia="Batang" w:hAnsi="Tahoma" w:cs="Tahoma"/>
      <w:sz w:val="16"/>
      <w:szCs w:val="16"/>
      <w:lang w:val="es-ES" w:eastAsia="ko-K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7401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74011"/>
    <w:rPr>
      <w:rFonts w:ascii="Times New Roman" w:eastAsia="Batang" w:hAnsi="Times New Roman" w:cs="Times New Roman"/>
      <w:b/>
      <w:bCs/>
      <w:sz w:val="20"/>
      <w:szCs w:val="20"/>
      <w:lang w:val="es-ES" w:eastAsia="ko-KR"/>
    </w:rPr>
  </w:style>
  <w:style w:type="character" w:styleId="Hipervnculo">
    <w:name w:val="Hyperlink"/>
    <w:basedOn w:val="Fuentedeprrafopredeter"/>
    <w:uiPriority w:val="99"/>
    <w:unhideWhenUsed/>
    <w:rsid w:val="00DF37CC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DF37CC"/>
  </w:style>
  <w:style w:type="character" w:styleId="Textoennegrita">
    <w:name w:val="Strong"/>
    <w:basedOn w:val="Fuentedeprrafopredeter"/>
    <w:uiPriority w:val="22"/>
    <w:qFormat/>
    <w:rsid w:val="00676737"/>
    <w:rPr>
      <w:b/>
      <w:bCs/>
    </w:rPr>
  </w:style>
  <w:style w:type="paragraph" w:styleId="Prrafodelista">
    <w:name w:val="List Paragraph"/>
    <w:basedOn w:val="Normal"/>
    <w:uiPriority w:val="34"/>
    <w:qFormat/>
    <w:rsid w:val="00E9678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ES_tradnl"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82462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24626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semiHidden/>
    <w:unhideWhenUsed/>
    <w:rsid w:val="0082462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24626"/>
    <w:rPr>
      <w:rFonts w:ascii="Times New Roman" w:eastAsia="Batang" w:hAnsi="Times New Roman" w:cs="Times New Roman"/>
      <w:sz w:val="24"/>
      <w:szCs w:val="24"/>
      <w:lang w:val="es-ES" w:eastAsia="ko-KR"/>
    </w:rPr>
  </w:style>
  <w:style w:type="table" w:styleId="Tablaconcuadrcula">
    <w:name w:val="Table Grid"/>
    <w:basedOn w:val="Tablanormal"/>
    <w:uiPriority w:val="59"/>
    <w:rsid w:val="005469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C11FBF"/>
    <w:rPr>
      <w:color w:val="808080"/>
    </w:rPr>
  </w:style>
  <w:style w:type="paragraph" w:customStyle="1" w:styleId="Default">
    <w:name w:val="Default"/>
    <w:rsid w:val="00917079"/>
    <w:pPr>
      <w:autoSpaceDE w:val="0"/>
      <w:autoSpaceDN w:val="0"/>
      <w:adjustRightInd w:val="0"/>
      <w:spacing w:after="0" w:line="240" w:lineRule="auto"/>
    </w:pPr>
    <w:rPr>
      <w:rFonts w:ascii="GGNFCH+Arial" w:hAnsi="GGNFCH+Arial" w:cs="GGNFCH+Arial"/>
      <w:color w:val="000000"/>
      <w:sz w:val="24"/>
      <w:szCs w:val="24"/>
    </w:rPr>
  </w:style>
  <w:style w:type="character" w:customStyle="1" w:styleId="ya-q-full-text">
    <w:name w:val="ya-q-full-text"/>
    <w:basedOn w:val="Fuentedeprrafopredeter"/>
    <w:rsid w:val="008F7E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7E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8E57E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7E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7E3"/>
    <w:rPr>
      <w:rFonts w:ascii="Times New Roman" w:eastAsia="Batang" w:hAnsi="Times New Roman" w:cs="Times New Roman"/>
      <w:sz w:val="20"/>
      <w:szCs w:val="20"/>
      <w:lang w:val="es-ES" w:eastAsia="ko-K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7E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7E3"/>
    <w:rPr>
      <w:rFonts w:ascii="Tahoma" w:eastAsia="Batang" w:hAnsi="Tahoma" w:cs="Tahoma"/>
      <w:sz w:val="16"/>
      <w:szCs w:val="16"/>
      <w:lang w:val="es-ES" w:eastAsia="ko-K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7401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74011"/>
    <w:rPr>
      <w:rFonts w:ascii="Times New Roman" w:eastAsia="Batang" w:hAnsi="Times New Roman" w:cs="Times New Roman"/>
      <w:b/>
      <w:bCs/>
      <w:sz w:val="20"/>
      <w:szCs w:val="20"/>
      <w:lang w:val="es-ES" w:eastAsia="ko-KR"/>
    </w:rPr>
  </w:style>
  <w:style w:type="character" w:styleId="Hipervnculo">
    <w:name w:val="Hyperlink"/>
    <w:basedOn w:val="Fuentedeprrafopredeter"/>
    <w:uiPriority w:val="99"/>
    <w:unhideWhenUsed/>
    <w:rsid w:val="00DF37CC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DF37CC"/>
  </w:style>
  <w:style w:type="character" w:styleId="Textoennegrita">
    <w:name w:val="Strong"/>
    <w:basedOn w:val="Fuentedeprrafopredeter"/>
    <w:uiPriority w:val="22"/>
    <w:qFormat/>
    <w:rsid w:val="00676737"/>
    <w:rPr>
      <w:b/>
      <w:bCs/>
    </w:rPr>
  </w:style>
  <w:style w:type="paragraph" w:styleId="Prrafodelista">
    <w:name w:val="List Paragraph"/>
    <w:basedOn w:val="Normal"/>
    <w:uiPriority w:val="34"/>
    <w:qFormat/>
    <w:rsid w:val="00E9678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ES_tradnl"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82462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24626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semiHidden/>
    <w:unhideWhenUsed/>
    <w:rsid w:val="0082462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24626"/>
    <w:rPr>
      <w:rFonts w:ascii="Times New Roman" w:eastAsia="Batang" w:hAnsi="Times New Roman" w:cs="Times New Roman"/>
      <w:sz w:val="24"/>
      <w:szCs w:val="24"/>
      <w:lang w:val="es-ES" w:eastAsia="ko-KR"/>
    </w:rPr>
  </w:style>
  <w:style w:type="table" w:styleId="Tablaconcuadrcula">
    <w:name w:val="Table Grid"/>
    <w:basedOn w:val="Tablanormal"/>
    <w:uiPriority w:val="59"/>
    <w:rsid w:val="005469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C11FBF"/>
    <w:rPr>
      <w:color w:val="808080"/>
    </w:rPr>
  </w:style>
  <w:style w:type="paragraph" w:customStyle="1" w:styleId="Default">
    <w:name w:val="Default"/>
    <w:rsid w:val="00917079"/>
    <w:pPr>
      <w:autoSpaceDE w:val="0"/>
      <w:autoSpaceDN w:val="0"/>
      <w:adjustRightInd w:val="0"/>
      <w:spacing w:after="0" w:line="240" w:lineRule="auto"/>
    </w:pPr>
    <w:rPr>
      <w:rFonts w:ascii="GGNFCH+Arial" w:hAnsi="GGNFCH+Arial" w:cs="GGNFCH+Arial"/>
      <w:color w:val="000000"/>
      <w:sz w:val="24"/>
      <w:szCs w:val="24"/>
    </w:rPr>
  </w:style>
  <w:style w:type="character" w:customStyle="1" w:styleId="ya-q-full-text">
    <w:name w:val="ya-q-full-text"/>
    <w:basedOn w:val="Fuentedeprrafopredeter"/>
    <w:rsid w:val="008F7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4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5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9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49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08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5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es.wikipedia.org/wiki/Agu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oya\Documents\Indicadores%20SIEA\FM_Homologada_v3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017ABF-DBC8-454C-9311-AB1CAE570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FM_Homologada_v3</Template>
  <TotalTime>21</TotalTime>
  <Pages>5</Pages>
  <Words>1219</Words>
  <Characters>6706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cmoya</dc:creator>
  <cp:lastModifiedBy>INEC Edison Villagrán</cp:lastModifiedBy>
  <cp:revision>7</cp:revision>
  <cp:lastPrinted>2015-01-27T18:45:00Z</cp:lastPrinted>
  <dcterms:created xsi:type="dcterms:W3CDTF">2016-10-18T00:48:00Z</dcterms:created>
  <dcterms:modified xsi:type="dcterms:W3CDTF">2016-10-27T15:54:00Z</dcterms:modified>
</cp:coreProperties>
</file>