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4"/>
        <w:gridCol w:w="945"/>
        <w:gridCol w:w="876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815" w:rsidRPr="00566E33" w:rsidRDefault="00245815" w:rsidP="00AB5F8D">
            <w:pPr>
              <w:jc w:val="both"/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val="es-EC"/>
              </w:rPr>
            </w:pPr>
          </w:p>
          <w:p w:rsidR="00FF3A48" w:rsidRPr="00A87F38" w:rsidRDefault="005A56A8" w:rsidP="00A87F38">
            <w:pPr>
              <w:jc w:val="both"/>
              <w:rPr>
                <w:rFonts w:ascii="Arial" w:eastAsia="Times New Roman" w:hAnsi="Arial" w:cs="Arial"/>
                <w:b/>
                <w:color w:val="FF0000"/>
                <w:lang w:val="es-EC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 xml:space="preserve">Principales Fuentes de Captación de Agua 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1EC" w:rsidRPr="00700938" w:rsidRDefault="00BC6623" w:rsidP="00BC6623">
            <w:pPr>
              <w:jc w:val="both"/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Determina</w:t>
            </w:r>
            <w:r w:rsidR="00700938" w:rsidRPr="00700938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 las fuentes de captación de agu</w:t>
            </w:r>
            <w:r w:rsidR="0063444E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a, que cada GAD Municipal tiene </w:t>
            </w:r>
            <w:r w:rsidR="00700938" w:rsidRPr="00700938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a su disposición</w:t>
            </w:r>
            <w:r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, para abastecerse.</w:t>
            </w:r>
            <w:r w:rsidR="00700938" w:rsidRPr="00700938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 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FÓRMULA </w:t>
            </w:r>
            <w:r w:rsidR="0010324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 CÁ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8E57E3" w:rsidRPr="005D51F4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566E33" w:rsidRDefault="008E57E3" w:rsidP="009112A5">
            <w:pPr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  <w:p w:rsidR="00700938" w:rsidRPr="00393996" w:rsidRDefault="00700938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FCA=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sz w:val="22"/>
                        <w:szCs w:val="22"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2"/>
                                <w:szCs w:val="22"/>
                                <w:lang w:val="es-EC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i/>
                                    <w:sz w:val="22"/>
                                    <w:szCs w:val="22"/>
                                    <w:lang w:val="es-EC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Arial"/>
                                    <w:sz w:val="22"/>
                                    <w:szCs w:val="22"/>
                                    <w:lang w:val="es-EC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 w:cs="Arial"/>
                                    <w:sz w:val="22"/>
                                    <w:szCs w:val="22"/>
                                    <w:lang w:val="es-EC"/>
                                  </w:rPr>
                                  <m:t>i(t)</m:t>
                                </m:r>
                              </m:sub>
                            </m:sSub>
                          </m:e>
                        </m:nary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2"/>
                                <w:szCs w:val="22"/>
                                <w:lang w:val="es-EC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(t)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*100</m:t>
                </m:r>
              </m:oMath>
            </m:oMathPara>
          </w:p>
          <w:p w:rsidR="00620D43" w:rsidRPr="00393996" w:rsidRDefault="00620D43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</w:p>
          <w:p w:rsidR="009A6362" w:rsidRPr="00393996" w:rsidRDefault="009A6362" w:rsidP="00523F21">
            <w:pPr>
              <w:jc w:val="both"/>
              <w:rPr>
                <w:rFonts w:ascii="Cambria Math" w:eastAsia="Times New Roman" w:hAnsi="Cambria Math" w:cs="Arial"/>
                <w:color w:val="FF0000"/>
                <w:sz w:val="22"/>
                <w:szCs w:val="22"/>
                <w:lang w:val="es-EC"/>
              </w:rPr>
            </w:pPr>
          </w:p>
          <w:p w:rsidR="0063444E" w:rsidRPr="00393996" w:rsidRDefault="0063444E" w:rsidP="0063444E">
            <w:pPr>
              <w:autoSpaceDE w:val="0"/>
              <w:autoSpaceDN w:val="0"/>
              <w:adjustRightInd w:val="0"/>
              <w:rPr>
                <w:rFonts w:ascii="Cambria Math" w:eastAsiaTheme="minorHAnsi" w:hAnsi="Cambria Math" w:cs="Arial"/>
                <w:bCs/>
                <w:color w:val="000000"/>
                <w:sz w:val="22"/>
                <w:szCs w:val="22"/>
                <w:lang w:val="es-EC" w:eastAsia="en-US"/>
              </w:rPr>
            </w:pPr>
            <w:r w:rsidRPr="00393996">
              <w:rPr>
                <w:rFonts w:ascii="Cambria Math" w:eastAsiaTheme="minorHAnsi" w:hAnsi="Cambria Math" w:cs="Arial"/>
                <w:bCs/>
                <w:color w:val="000000"/>
                <w:sz w:val="22"/>
                <w:szCs w:val="22"/>
                <w:lang w:val="es-EC" w:eastAsia="en-US"/>
              </w:rPr>
              <w:t xml:space="preserve">Dónde: </w:t>
            </w:r>
          </w:p>
          <w:p w:rsidR="0063444E" w:rsidRPr="00393996" w:rsidRDefault="0063444E" w:rsidP="0063444E">
            <w:pPr>
              <w:autoSpaceDE w:val="0"/>
              <w:autoSpaceDN w:val="0"/>
              <w:adjustRightInd w:val="0"/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</w:pPr>
          </w:p>
          <w:p w:rsidR="0063444E" w:rsidRPr="00393996" w:rsidRDefault="0063444E" w:rsidP="0063444E">
            <w:pPr>
              <w:autoSpaceDE w:val="0"/>
              <w:autoSpaceDN w:val="0"/>
              <w:adjustRightInd w:val="0"/>
              <w:rPr>
                <w:rFonts w:ascii="Cambria Math" w:eastAsiaTheme="minorHAnsi" w:hAnsi="Cambria Math"/>
                <w:sz w:val="22"/>
                <w:szCs w:val="22"/>
                <w:lang w:val="es-EC" w:eastAsia="en-US"/>
              </w:rPr>
            </w:pPr>
            <w:r w:rsidRPr="00393996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  <w:t xml:space="preserve">FCA: </w:t>
            </w:r>
            <w:r w:rsidRPr="00393996">
              <w:rPr>
                <w:rFonts w:ascii="Cambria Math" w:eastAsia="Times New Roman" w:hAnsi="Cambria Math" w:cs="Arial"/>
                <w:b/>
                <w:sz w:val="22"/>
                <w:szCs w:val="22"/>
                <w:lang w:val="es-EC"/>
              </w:rPr>
              <w:t>Principales Fuentes de Captación de Agua</w:t>
            </w:r>
          </w:p>
          <w:p w:rsidR="009A6362" w:rsidRPr="00393996" w:rsidRDefault="009A6362" w:rsidP="00523F21">
            <w:pPr>
              <w:jc w:val="both"/>
              <w:rPr>
                <w:rFonts w:ascii="Cambria Math" w:eastAsia="Times New Roman" w:hAnsi="Cambria Math" w:cs="Arial"/>
                <w:b/>
                <w:color w:val="FF0000"/>
                <w:sz w:val="22"/>
                <w:szCs w:val="22"/>
                <w:lang w:val="es-EC"/>
              </w:rPr>
            </w:pPr>
          </w:p>
          <w:p w:rsidR="0063444E" w:rsidRPr="00393996" w:rsidRDefault="0063444E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Xi(t)</m:t>
              </m:r>
            </m:oMath>
            <w:r w:rsidR="005226D0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: Número de</w:t>
            </w:r>
            <w:r w:rsidR="005006BC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</w:t>
            </w: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fuentes de captación de agua (i) </w:t>
            </w:r>
            <w:r w:rsidR="00756519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en los </w:t>
            </w:r>
            <w:r w:rsidR="00756519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GAD Municipales </w:t>
            </w: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en un período t.</w:t>
            </w:r>
          </w:p>
          <w:p w:rsidR="00506A81" w:rsidRPr="00393996" w:rsidRDefault="00506A81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</w:p>
          <w:p w:rsidR="00506A81" w:rsidRPr="00393996" w:rsidRDefault="00506A81" w:rsidP="00664538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Si:</w:t>
            </w:r>
          </w:p>
          <w:p w:rsidR="00506A81" w:rsidRPr="00393996" w:rsidRDefault="00506A81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i=1, </w:t>
            </w:r>
            <w:r w:rsidR="00620D43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Es </w:t>
            </w: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Fuente Superficial</w:t>
            </w:r>
          </w:p>
          <w:p w:rsidR="00506A81" w:rsidRPr="00393996" w:rsidRDefault="00506A81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         i=1.1, Es Río</w:t>
            </w:r>
          </w:p>
          <w:p w:rsidR="00506A81" w:rsidRPr="00393996" w:rsidRDefault="00506A81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         </w:t>
            </w:r>
            <w:r w:rsidR="00620D43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i=1.2, Es Embalse</w:t>
            </w:r>
          </w:p>
          <w:p w:rsidR="00620D43" w:rsidRPr="00393996" w:rsidRDefault="00620D43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         i=1.3, Es Quebrada</w:t>
            </w:r>
          </w:p>
          <w:p w:rsidR="00506A81" w:rsidRPr="00393996" w:rsidRDefault="00620D43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i=2, Es Fuente Subterránea</w:t>
            </w:r>
          </w:p>
          <w:p w:rsidR="00506A81" w:rsidRPr="00393996" w:rsidRDefault="00620D43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         </w:t>
            </w:r>
            <w:r w:rsidR="00506A81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</w:t>
            </w: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2.1</w:t>
            </w:r>
            <w:r w:rsidR="00506A81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,</w:t>
            </w: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Es Pozo Somero</w:t>
            </w:r>
          </w:p>
          <w:p w:rsidR="00620D43" w:rsidRPr="00393996" w:rsidRDefault="00620D43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         i=2.2, Es Pozo Profundo</w:t>
            </w:r>
          </w:p>
          <w:p w:rsidR="00506A81" w:rsidRPr="00393996" w:rsidRDefault="00620D43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i=3, Es Vertiente</w:t>
            </w:r>
          </w:p>
          <w:p w:rsidR="00506A81" w:rsidRPr="00393996" w:rsidRDefault="00620D43" w:rsidP="005226D0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i=4, Es Galería de Infiltración </w:t>
            </w:r>
            <w:r w:rsidR="00506A81"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</w:t>
            </w:r>
          </w:p>
          <w:p w:rsidR="00506A81" w:rsidRPr="00393996" w:rsidRDefault="00506A81" w:rsidP="00506A8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</w:p>
          <w:p w:rsidR="00506A81" w:rsidRPr="00393996" w:rsidRDefault="005226D0" w:rsidP="00506A8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proofErr w:type="gramStart"/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Y(</w:t>
            </w:r>
            <w:proofErr w:type="gramEnd"/>
            <w:r w:rsidRPr="00393996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t)= Total </w:t>
            </w:r>
            <w:r w:rsidR="005D51F4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de </w:t>
            </w:r>
            <w:r w:rsidR="005006BC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fuente</w:t>
            </w:r>
            <w:r w:rsidR="005D51F4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s de captación de agua cruda.</w:t>
            </w:r>
          </w:p>
          <w:p w:rsidR="009A3212" w:rsidRPr="00F42A43" w:rsidRDefault="009A3212" w:rsidP="00EB3EA0">
            <w:pPr>
              <w:jc w:val="both"/>
              <w:rPr>
                <w:rFonts w:ascii="Arial" w:eastAsia="Times New Roman" w:hAnsi="Arial" w:cs="Arial"/>
                <w:lang w:val="es-EC"/>
              </w:rPr>
            </w:pP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69F6" w:rsidRPr="00FE36D4" w:rsidRDefault="009A3212" w:rsidP="00393996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Gobierno Autónomo Descentralizado Municipal (GAD Municipal): </w:t>
            </w:r>
            <w:r w:rsidRPr="00FE36D4">
              <w:rPr>
                <w:rFonts w:ascii="Arial" w:hAnsi="Arial" w:cs="Arial"/>
                <w:sz w:val="22"/>
                <w:szCs w:val="22"/>
              </w:rPr>
              <w:t>Persona jurídica de derecho público, con autonomía política, administrativa y financiera.</w:t>
            </w:r>
          </w:p>
          <w:p w:rsidR="00B55924" w:rsidRPr="00FE36D4" w:rsidRDefault="009A3212" w:rsidP="00393996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Cantón: </w:t>
            </w:r>
            <w:r w:rsidRPr="00FE36D4">
              <w:rPr>
                <w:rFonts w:ascii="Arial" w:hAnsi="Arial" w:cs="Arial"/>
                <w:sz w:val="22"/>
                <w:szCs w:val="22"/>
              </w:rPr>
              <w:t>Circunscripción territorial conformada por parroquias rurales y la cabecera cantonal con sus parroquias urbanas, señaladas en su respectiva ley de creación, y por las que se crearen con posterioridad, de conformidad con la presente ley.</w:t>
            </w:r>
          </w:p>
          <w:p w:rsidR="00B31941" w:rsidRPr="00BC6623" w:rsidRDefault="00B55924" w:rsidP="00BC6623">
            <w:pPr>
              <w:spacing w:before="240" w:after="240"/>
              <w:ind w:right="5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36D4">
              <w:rPr>
                <w:rFonts w:ascii="Arial" w:eastAsiaTheme="minorEastAsia" w:hAnsi="Arial" w:cs="Arial"/>
                <w:b/>
                <w:sz w:val="22"/>
                <w:szCs w:val="22"/>
                <w:lang w:eastAsia="es-ES"/>
              </w:rPr>
              <w:lastRenderedPageBreak/>
              <w:t>Cobertura</w:t>
            </w:r>
            <w:r w:rsidRPr="00FE36D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:</w:t>
            </w:r>
            <w:r w:rsidRPr="00FE36D4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Extensión territorial que abarcan diversos servicios.</w:t>
            </w:r>
          </w:p>
          <w:p w:rsidR="00690648" w:rsidRDefault="00690648" w:rsidP="00393996">
            <w:pPr>
              <w:spacing w:before="240" w:after="2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FE36D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Aguas </w:t>
            </w:r>
            <w:r w:rsidR="00FE36D4">
              <w:rPr>
                <w:rFonts w:ascii="Arial" w:eastAsiaTheme="minorEastAsia" w:hAnsi="Arial" w:cs="Arial"/>
                <w:b/>
                <w:sz w:val="22"/>
                <w:szCs w:val="22"/>
                <w:lang w:eastAsia="es-ES"/>
              </w:rPr>
              <w:t>S</w:t>
            </w:r>
            <w:r w:rsidRPr="00FE36D4">
              <w:rPr>
                <w:rFonts w:ascii="Arial" w:eastAsiaTheme="minorEastAsia" w:hAnsi="Arial" w:cs="Arial"/>
                <w:b/>
                <w:sz w:val="22"/>
                <w:szCs w:val="22"/>
                <w:lang w:eastAsia="es-ES"/>
              </w:rPr>
              <w:t>uperficiales</w:t>
            </w:r>
            <w:r w:rsidRPr="00FE36D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:</w:t>
            </w:r>
            <w:r w:rsidRPr="00FE36D4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Todas las aguas expuestas naturalmente a la atmósfera, como ríos, lagos, embalses, corrientes de agua, estanques, mares, estuarios, etc. La expresión abarca también manantiales, pozos u otros colectores de agua que están directamente influenciados por las aguas de superficie.</w:t>
            </w:r>
          </w:p>
          <w:p w:rsidR="00611BB5" w:rsidRPr="007E5B4A" w:rsidRDefault="00611BB5" w:rsidP="00611BB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Rio: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Corriente de agua </w:t>
            </w:r>
            <w:proofErr w:type="gramStart"/>
            <w:r w:rsidR="00BC6623">
              <w:rPr>
                <w:rFonts w:ascii="Arial" w:hAnsi="Arial" w:cs="Arial"/>
                <w:color w:val="000000" w:themeColor="text1"/>
                <w:sz w:val="22"/>
                <w:szCs w:val="22"/>
              </w:rPr>
              <w:t>continua</w:t>
            </w:r>
            <w:proofErr w:type="gramEnd"/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que desemboca en otra, en un lago, en una presa o en el mar.</w:t>
            </w:r>
          </w:p>
          <w:p w:rsidR="00611BB5" w:rsidRPr="007E5B4A" w:rsidRDefault="00611BB5" w:rsidP="00611BB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Embalse o canal: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>Depósito artificial que almacena aguas de ríos o arroyos mediante un dique o presa. Es con el fin de utilizarlas en el riego de terrenos para abastecer a las poblaciones en la producción de energía eléctrica.</w:t>
            </w:r>
          </w:p>
          <w:p w:rsidR="00611BB5" w:rsidRDefault="00611BB5" w:rsidP="00611BB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Quebrada: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>Es un arroyo o río pequeño o riachuelo, de poco caudal si se compara con un río, y no apto para la navegación o la pesca significativa. En las quebradas, por lo común, sólo viven especies de peces sumamente pequeños.</w:t>
            </w:r>
          </w:p>
          <w:p w:rsidR="002E3D11" w:rsidRPr="00EA55E6" w:rsidRDefault="002E3D11" w:rsidP="002E3D11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EA55E6">
              <w:rPr>
                <w:rFonts w:ascii="Arial" w:hAnsi="Arial" w:cs="Arial"/>
                <w:b/>
                <w:sz w:val="22"/>
                <w:szCs w:val="22"/>
              </w:rPr>
              <w:t>Aguas subterráneas:</w:t>
            </w:r>
            <w:r w:rsidRPr="00EA55E6">
              <w:rPr>
                <w:rFonts w:ascii="Arial" w:hAnsi="Arial" w:cs="Arial"/>
                <w:sz w:val="22"/>
                <w:szCs w:val="22"/>
              </w:rPr>
              <w:t xml:space="preserve"> es el agua dulce que se encuentra debajo de la superficie terrestre (por lo general en acuíferos) y que alimenta a los pozos y manantiales. Dado que las aguas subterráneas son la fuente principal del agua </w:t>
            </w:r>
            <w:r w:rsidR="00581EEB">
              <w:rPr>
                <w:rFonts w:ascii="Arial" w:hAnsi="Arial" w:cs="Arial"/>
                <w:sz w:val="22"/>
                <w:szCs w:val="22"/>
              </w:rPr>
              <w:t>apta para consumo humano</w:t>
            </w:r>
            <w:r w:rsidRPr="00EA55E6">
              <w:rPr>
                <w:rFonts w:ascii="Arial" w:hAnsi="Arial" w:cs="Arial"/>
                <w:sz w:val="22"/>
                <w:szCs w:val="22"/>
              </w:rPr>
              <w:t>, cada vez preocupa más la infiltración de contaminantes agrícolas e industriales o sustancias almacenadas en tanques subterráneos. Tambi</w:t>
            </w:r>
            <w:r>
              <w:rPr>
                <w:rFonts w:ascii="Arial" w:hAnsi="Arial" w:cs="Arial"/>
                <w:sz w:val="22"/>
                <w:szCs w:val="22"/>
              </w:rPr>
              <w:t>én se denominan aguas freáticas.</w:t>
            </w:r>
          </w:p>
          <w:p w:rsidR="00611BB5" w:rsidRPr="007E5B4A" w:rsidRDefault="00611BB5" w:rsidP="00611BB5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Pozo somero: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Generalmente excavado a mano, que sirve </w:t>
            </w:r>
            <w:bookmarkStart w:id="0" w:name="_GoBack"/>
            <w:bookmarkEnd w:id="0"/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>para obtener agua del nivel freático, principalmente para usos domésticos.  No se requiere de máquinas perforadoras para construirlos y son más económicos y funcionales que los pozos profundos</w:t>
            </w:r>
          </w:p>
          <w:p w:rsidR="00CB018E" w:rsidRDefault="00611BB5" w:rsidP="00611BB5">
            <w:pPr>
              <w:pStyle w:val="NormalWeb"/>
              <w:spacing w:before="240" w:beforeAutospacing="0" w:after="24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Pozo profundo: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>Perforados a través de muchas técnicas y que generalmente requieren de grandes equipos de perforación, el pozo profundo es explotado bajo condiciones de presión  atmosférica normal.</w:t>
            </w:r>
          </w:p>
          <w:p w:rsidR="00BC6623" w:rsidRDefault="00BC6623" w:rsidP="00BC662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Vertiente: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>Declive de una montaña o conjunto de declives en una cordillera por donde corren las corrientes de agua de algunos ríos que van a desembocar al mar, lagos, lagunas u otros ríos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BC6623" w:rsidRPr="00BC6623" w:rsidRDefault="00BC6623" w:rsidP="00BC662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</w:rPr>
            </w:pPr>
            <w:r w:rsidRPr="007E5B4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Galería de Infiltración: </w:t>
            </w:r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Una galería de infiltración es una forma de captar el agua subterránea que se encuentra muy próxima a la superficie - </w:t>
            </w:r>
            <w:proofErr w:type="spellStart"/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>subsuperficial</w:t>
            </w:r>
            <w:proofErr w:type="spellEnd"/>
            <w:r w:rsidRPr="007E5B4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- y cuyos afloramientos se presentan dispersos en áreas considerables.</w:t>
            </w:r>
          </w:p>
        </w:tc>
      </w:tr>
      <w:tr w:rsidR="00E96785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Default="00103247" w:rsidP="009112A5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METODOLOGÍA DE CÁ</w:t>
            </w:r>
            <w:r w:rsidR="00E96785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E96785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E36D4" w:rsidRDefault="00FE36D4" w:rsidP="005A1D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62844" w:rsidRDefault="005A1D55" w:rsidP="00553478">
            <w:pPr>
              <w:pStyle w:val="Default"/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calcula como </w:t>
            </w:r>
            <w:r w:rsidR="00611BB5">
              <w:rPr>
                <w:rFonts w:ascii="Arial" w:hAnsi="Arial" w:cs="Arial"/>
                <w:sz w:val="22"/>
                <w:szCs w:val="22"/>
              </w:rPr>
              <w:t xml:space="preserve">el cociente entre número de </w:t>
            </w:r>
            <w:r w:rsidR="005006BC">
              <w:rPr>
                <w:rFonts w:ascii="Arial" w:hAnsi="Arial" w:cs="Arial"/>
                <w:sz w:val="22"/>
                <w:szCs w:val="22"/>
              </w:rPr>
              <w:t xml:space="preserve">fuentes de </w:t>
            </w:r>
            <w:r>
              <w:rPr>
                <w:rFonts w:ascii="Arial" w:hAnsi="Arial" w:cs="Arial"/>
                <w:sz w:val="22"/>
                <w:szCs w:val="22"/>
              </w:rPr>
              <w:t xml:space="preserve">captación de agua (i) </w:t>
            </w:r>
            <w:r w:rsidR="005006BC">
              <w:rPr>
                <w:rFonts w:ascii="Arial" w:hAnsi="Arial" w:cs="Arial"/>
                <w:sz w:val="22"/>
                <w:szCs w:val="22"/>
              </w:rPr>
              <w:t xml:space="preserve">dentro de los GAD Municipales </w:t>
            </w:r>
            <w:r>
              <w:rPr>
                <w:rFonts w:ascii="Arial" w:hAnsi="Arial" w:cs="Arial"/>
                <w:sz w:val="22"/>
                <w:szCs w:val="22"/>
              </w:rPr>
              <w:t>en un período (t) determinado, sobre el total de</w:t>
            </w:r>
            <w:r w:rsidR="005006BC">
              <w:rPr>
                <w:rFonts w:ascii="Arial" w:hAnsi="Arial" w:cs="Arial"/>
                <w:sz w:val="22"/>
                <w:szCs w:val="22"/>
              </w:rPr>
              <w:t xml:space="preserve"> fuentes</w:t>
            </w:r>
            <w:r w:rsidR="00756519">
              <w:rPr>
                <w:rFonts w:ascii="Arial" w:hAnsi="Arial" w:cs="Arial"/>
                <w:sz w:val="22"/>
                <w:szCs w:val="22"/>
              </w:rPr>
              <w:t xml:space="preserve"> que aportaron información dentro de los GAD Municipales </w:t>
            </w:r>
            <w:r>
              <w:rPr>
                <w:rFonts w:ascii="Arial" w:hAnsi="Arial" w:cs="Arial"/>
                <w:sz w:val="22"/>
                <w:szCs w:val="22"/>
              </w:rPr>
              <w:t>a nivel n</w:t>
            </w:r>
            <w:r w:rsidR="00553478">
              <w:rPr>
                <w:rFonts w:ascii="Arial" w:hAnsi="Arial" w:cs="Arial"/>
                <w:sz w:val="22"/>
                <w:szCs w:val="22"/>
              </w:rPr>
              <w:t>acional en el mismo período (t),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3478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ultiplicado por cien (100) para ser expresado como porcentaje.</w:t>
            </w:r>
          </w:p>
          <w:p w:rsidR="00393996" w:rsidRPr="00553478" w:rsidRDefault="00393996" w:rsidP="00553478">
            <w:pPr>
              <w:pStyle w:val="Default"/>
              <w:spacing w:after="24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4D5A80" w:rsidRDefault="004D5A80" w:rsidP="004D5A80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LIMITACIONES TÉCNICAS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A87F38" w:rsidRDefault="00FE36D4" w:rsidP="00387FE0">
            <w:pPr>
              <w:jc w:val="both"/>
              <w:rPr>
                <w:rFonts w:ascii="Arial" w:hAnsi="Arial" w:cs="Arial"/>
                <w:color w:val="FF0000"/>
                <w:lang w:val="es-EC"/>
              </w:rPr>
            </w:pPr>
            <w:r w:rsidRPr="00393996">
              <w:rPr>
                <w:rFonts w:ascii="Arial" w:hAnsi="Arial" w:cs="Arial"/>
                <w:color w:val="000000" w:themeColor="text1"/>
                <w:lang w:val="es-EC"/>
              </w:rPr>
              <w:t xml:space="preserve">No aplica </w:t>
            </w:r>
          </w:p>
        </w:tc>
      </w:tr>
      <w:tr w:rsidR="003E3485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Default="00E96785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UNIDAD DE MEDIDA </w:t>
            </w:r>
            <w:r w:rsidR="004D5A80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O EXPRESIÓN 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A87F38" w:rsidRDefault="00E30599" w:rsidP="009112A5">
            <w:pPr>
              <w:rPr>
                <w:rFonts w:ascii="Arial" w:eastAsia="Times New Roman" w:hAnsi="Arial" w:cs="Arial"/>
                <w:color w:val="FF0000"/>
                <w:lang w:val="es-EC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Porcentaje (%).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Default="00E96785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576C" w:rsidRDefault="00E30599" w:rsidP="00611BB5">
            <w:pPr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Se mide como el </w:t>
            </w:r>
            <w:r w:rsidR="0050576C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porcentaje </w:t>
            </w:r>
            <w:r w:rsidR="005006BC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de fuentes de captación en los GAD Municipales</w:t>
            </w:r>
            <w:r w:rsidR="00756519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(i)</w:t>
            </w:r>
            <w:r w:rsidR="0050576C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 </w:t>
            </w:r>
          </w:p>
          <w:p w:rsidR="0050576C" w:rsidRDefault="0050576C" w:rsidP="00E96785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</w:p>
          <w:p w:rsidR="00943765" w:rsidRPr="00A87F38" w:rsidRDefault="00E30599" w:rsidP="005006BC">
            <w:pPr>
              <w:jc w:val="both"/>
              <w:rPr>
                <w:rFonts w:ascii="Arial" w:eastAsiaTheme="minorEastAsia" w:hAnsi="Arial" w:cs="Arial"/>
                <w:color w:val="FF0000"/>
                <w:lang w:eastAsia="es-EC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Entre más cercano al 100%</w:t>
            </w:r>
            <w:r w:rsidR="0050576C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</w:t>
            </w:r>
            <w:r w:rsidR="00393996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se encuentre el indicador </w:t>
            </w:r>
            <w:r w:rsidR="0050576C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significa que un alto p</w:t>
            </w:r>
            <w:r w:rsidR="00756519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orcentaje </w:t>
            </w:r>
            <w:r w:rsidR="005006BC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del agua es captada por las diferentes fuentes.</w:t>
            </w:r>
          </w:p>
        </w:tc>
      </w:tr>
      <w:tr w:rsidR="003E3485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09C" w:rsidRPr="00A87F38" w:rsidRDefault="0070609C" w:rsidP="00DA6270">
            <w:pPr>
              <w:rPr>
                <w:rFonts w:ascii="Arial" w:hAnsi="Arial" w:cs="Arial"/>
                <w:color w:val="FF0000"/>
              </w:rPr>
            </w:pPr>
          </w:p>
          <w:p w:rsidR="00B704EF" w:rsidRPr="00AE2F58" w:rsidRDefault="00B704EF" w:rsidP="00B704EF">
            <w:pPr>
              <w:spacing w:before="240" w:after="240"/>
              <w:jc w:val="both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70609C" w:rsidRPr="00A87F38" w:rsidRDefault="00B704EF" w:rsidP="00B704EF">
            <w:pPr>
              <w:spacing w:after="240"/>
              <w:jc w:val="both"/>
              <w:rPr>
                <w:rFonts w:ascii="Arial" w:eastAsiaTheme="minorEastAsia" w:hAnsi="Arial" w:cs="Arial"/>
                <w:color w:val="FF0000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3E3485" w:rsidTr="009A3212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516F3" w:rsidRDefault="003A6AA8" w:rsidP="00BA7FFC">
            <w:pPr>
              <w:rPr>
                <w:rFonts w:ascii="Arial" w:eastAsiaTheme="minorEastAsia" w:hAnsi="Arial" w:cs="Arial"/>
                <w:color w:val="FF0000"/>
                <w:lang w:val="es-EC" w:eastAsia="es-EC"/>
              </w:rPr>
            </w:pPr>
            <w:r>
              <w:rPr>
                <w:rFonts w:ascii="Arial" w:eastAsiaTheme="minorEastAsia" w:hAnsi="Arial" w:cs="Arial"/>
                <w:lang w:val="es-EC" w:eastAsia="es-EC"/>
              </w:rPr>
              <w:t xml:space="preserve">Anual </w:t>
            </w:r>
          </w:p>
        </w:tc>
      </w:tr>
      <w:tr w:rsidR="003E3485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516F3" w:rsidRDefault="00B55924" w:rsidP="00BC626B">
            <w:pPr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Default="00112102" w:rsidP="00E95C9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576C" w:rsidRDefault="00B704EF" w:rsidP="00393996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- Nacional</w:t>
            </w:r>
          </w:p>
          <w:p w:rsidR="0050576C" w:rsidRDefault="00B704EF" w:rsidP="005057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- Regional</w:t>
            </w:r>
          </w:p>
          <w:p w:rsidR="00112102" w:rsidRPr="0050576C" w:rsidRDefault="0050576C" w:rsidP="00393996">
            <w:pPr>
              <w:autoSpaceDE w:val="0"/>
              <w:autoSpaceDN w:val="0"/>
              <w:adjustRightInd w:val="0"/>
              <w:spacing w:after="240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- Provincial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Default="00112102" w:rsidP="00E95C9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516F3" w:rsidRDefault="00BD54ED" w:rsidP="00BD54E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Default="00112102" w:rsidP="00E95C90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393996" w:rsidRDefault="00E516F3" w:rsidP="00393996">
            <w:pPr>
              <w:autoSpaceDE w:val="0"/>
              <w:autoSpaceDN w:val="0"/>
              <w:adjustRightInd w:val="0"/>
              <w:rPr>
                <w:rFonts w:eastAsiaTheme="minorHAnsi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No aplica </w:t>
            </w:r>
          </w:p>
        </w:tc>
      </w:tr>
      <w:tr w:rsidR="003E3485" w:rsidTr="009A3212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E516F3" w:rsidRDefault="00E516F3" w:rsidP="006373B8">
            <w:pPr>
              <w:rPr>
                <w:rFonts w:ascii="Arial" w:eastAsia="Times New Roman" w:hAnsi="Arial" w:cs="Arial"/>
                <w:lang w:val="es-EC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3E3485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B704EF" w:rsidRDefault="00B704EF" w:rsidP="0039399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</w:pPr>
          </w:p>
          <w:p w:rsidR="00E516F3" w:rsidRPr="00E516F3" w:rsidRDefault="00E516F3" w:rsidP="0039399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</w:pPr>
            <w:r w:rsidRPr="00E516F3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E516F3" w:rsidRPr="00E516F3" w:rsidRDefault="00E516F3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E516F3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val="es-EC" w:eastAsia="en-US"/>
              </w:rPr>
              <w:t>Objetivo 1</w:t>
            </w:r>
            <w:r w:rsidRPr="00E516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.- Consolidar el Estado democrático y la </w:t>
            </w:r>
            <w:r w:rsidRPr="00E516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lastRenderedPageBreak/>
              <w:t xml:space="preserve">construcción del poder popular.  </w:t>
            </w:r>
          </w:p>
          <w:p w:rsidR="00350BBE" w:rsidRPr="00E516F3" w:rsidRDefault="00E516F3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E516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Política 1.2.- Garantizar la prestación de servicios públicos de calidad con calidez  </w:t>
            </w:r>
          </w:p>
          <w:p w:rsidR="00E516F3" w:rsidRDefault="00E516F3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E516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Literal d.- Implementar modelos de prestación de servicios públicos </w:t>
            </w:r>
            <w:proofErr w:type="spellStart"/>
            <w:r w:rsidRPr="00E516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territorializados</w:t>
            </w:r>
            <w:proofErr w:type="spellEnd"/>
            <w:r w:rsidRPr="00E516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con estándares de calidad y satisfacción de la ciudadanía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. </w:t>
            </w:r>
          </w:p>
          <w:p w:rsidR="00FE36D4" w:rsidRDefault="00FE36D4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Objetivo 3.- Mejorar la Calidad de Vida de la Población.</w:t>
            </w:r>
          </w:p>
          <w:p w:rsidR="00FE36D4" w:rsidRPr="00FE36D4" w:rsidRDefault="00FE36D4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Política </w:t>
            </w:r>
            <w:r w:rsidRPr="00FE36D4">
              <w:rPr>
                <w:rFonts w:ascii="Arial" w:hAnsi="Arial" w:cs="Arial"/>
                <w:sz w:val="22"/>
                <w:szCs w:val="22"/>
              </w:rPr>
              <w:t>3.10.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E36D4">
              <w:rPr>
                <w:rFonts w:ascii="Arial" w:hAnsi="Arial" w:cs="Arial"/>
                <w:sz w:val="22"/>
                <w:szCs w:val="22"/>
              </w:rPr>
              <w:t xml:space="preserve"> Garantizar el acceso universal, permanente, sostenible y con calidad a agua segura y a servicios básicos de saneamiento, con pertinencia territorial, ambiental, social y cultural</w:t>
            </w:r>
          </w:p>
          <w:p w:rsidR="00FE36D4" w:rsidRDefault="00FE36D4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Literal c.- </w:t>
            </w:r>
            <w:r w:rsidRPr="00FE36D4">
              <w:rPr>
                <w:rFonts w:ascii="Arial" w:hAnsi="Arial" w:cs="Arial"/>
                <w:color w:val="000000"/>
                <w:sz w:val="22"/>
                <w:szCs w:val="22"/>
              </w:rPr>
              <w:t xml:space="preserve">Identificar, explotar y usar de manera sostenible y sustentable las fuentes de agua mejoradas, para el abastecimiento y la provisión de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ag</w:t>
            </w:r>
            <w:r w:rsidRPr="00FE36D4">
              <w:rPr>
                <w:rFonts w:ascii="Arial" w:hAnsi="Arial" w:cs="Arial"/>
                <w:color w:val="000000"/>
                <w:sz w:val="22"/>
                <w:szCs w:val="22"/>
              </w:rPr>
              <w:t>ua para consumo humano, de manera articulada entre niveles de gobierno.</w:t>
            </w:r>
          </w:p>
          <w:p w:rsidR="00FE36D4" w:rsidRDefault="00FE36D4" w:rsidP="0039399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FE36D4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FE36D4" w:rsidRDefault="00FE36D4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EA17D0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EA17D0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EA17D0">
              <w:rPr>
                <w:rStyle w:val="apple-converted-space"/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 </w:t>
            </w:r>
            <w:hyperlink r:id="rId9" w:tooltip="Agua" w:history="1">
              <w:r w:rsidRPr="00EA17D0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shd w:val="clear" w:color="auto" w:fill="FFFFFF"/>
                </w:rPr>
                <w:t>agua</w:t>
              </w:r>
            </w:hyperlink>
            <w:r w:rsidRPr="00EA17D0">
              <w:rPr>
                <w:rStyle w:val="apple-converted-space"/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 </w:t>
            </w:r>
            <w:r w:rsidRPr="00EA17D0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FE36D4" w:rsidRPr="00FE36D4" w:rsidRDefault="00FE36D4" w:rsidP="00393996">
            <w:pPr>
              <w:numPr>
                <w:ilvl w:val="0"/>
                <w:numId w:val="4"/>
              </w:numPr>
              <w:shd w:val="clear" w:color="auto" w:fill="FFFFFF"/>
              <w:spacing w:before="240" w:after="240"/>
              <w:ind w:left="384"/>
              <w:jc w:val="both"/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</w:pPr>
            <w:r w:rsidRPr="00FE36D4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  <w:r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E516F3" w:rsidRDefault="00E516F3" w:rsidP="0039399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Theme="minorHAnsi"/>
                <w:lang w:val="es-EC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</w:p>
          <w:p w:rsidR="00E516F3" w:rsidRDefault="00E516F3" w:rsidP="0039399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E516F3" w:rsidRPr="00A87F38" w:rsidRDefault="00E516F3" w:rsidP="00393996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UtopiaStd-Regular" w:hAnsi="Arial" w:cs="Arial"/>
                <w:color w:val="FF0000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3E3485" w:rsidTr="004D5A80">
        <w:trPr>
          <w:trHeight w:val="982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16F3" w:rsidRPr="003A6AA8" w:rsidRDefault="00E516F3" w:rsidP="00C344C7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</w:pPr>
            <w:r w:rsidRPr="003A6A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E516F3" w:rsidRPr="003A6AA8" w:rsidRDefault="00E516F3" w:rsidP="00C344C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3A6AA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E516F3" w:rsidRPr="003A6AA8" w:rsidRDefault="00E516F3" w:rsidP="00C344C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3A6AA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E516F3" w:rsidRPr="003A6AA8" w:rsidRDefault="00E516F3" w:rsidP="00C344C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3A6AA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BD761E" w:rsidRPr="003A6AA8" w:rsidRDefault="00E516F3" w:rsidP="00C344C7">
            <w:pPr>
              <w:spacing w:before="240" w:after="24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3A6AA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lastRenderedPageBreak/>
              <w:t xml:space="preserve">Plan Nacional del Buen Vivir 2013-2017 </w:t>
            </w:r>
            <w:r w:rsidRPr="003A6AA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67004D" w:rsidRPr="0067004D" w:rsidRDefault="0067004D" w:rsidP="00C344C7">
            <w:pPr>
              <w:spacing w:before="240" w:after="240"/>
              <w:jc w:val="both"/>
              <w:rPr>
                <w:rFonts w:ascii="Arial" w:eastAsia="Times New Roman" w:hAnsi="Arial" w:cs="Arial"/>
                <w:b/>
                <w:color w:val="FF0000"/>
                <w:lang w:val="es-EC"/>
              </w:rPr>
            </w:pPr>
            <w:r w:rsidRPr="003A6AA8">
              <w:rPr>
                <w:rFonts w:ascii="Arial" w:hAnsi="Arial" w:cs="Arial"/>
                <w:b/>
                <w:color w:val="000000"/>
                <w:sz w:val="22"/>
                <w:szCs w:val="22"/>
                <w:lang w:val="es-EC"/>
              </w:rPr>
              <w:t>Obj</w:t>
            </w:r>
            <w:r w:rsidR="003A6AA8" w:rsidRPr="003A6AA8">
              <w:rPr>
                <w:rFonts w:ascii="Arial" w:hAnsi="Arial" w:cs="Arial"/>
                <w:b/>
                <w:color w:val="000000"/>
                <w:sz w:val="22"/>
                <w:szCs w:val="22"/>
                <w:lang w:val="es-EC"/>
              </w:rPr>
              <w:t>etivos de Desarrollo Sostenible, Agenda 2030.</w:t>
            </w:r>
          </w:p>
        </w:tc>
      </w:tr>
      <w:tr w:rsidR="003E3485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A87F38" w:rsidRDefault="00F00E0F" w:rsidP="00156638">
            <w:pPr>
              <w:rPr>
                <w:rFonts w:ascii="Arial" w:eastAsiaTheme="minorEastAsia" w:hAnsi="Arial" w:cs="Arial"/>
                <w:color w:val="FF0000"/>
                <w:lang w:val="es-EC" w:eastAsia="es-EC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05/09</w:t>
            </w:r>
            <w:r w:rsidR="00112102" w:rsidRPr="00E516F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/201</w:t>
            </w:r>
            <w:r w:rsidR="00E516F3" w:rsidRPr="00E516F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6</w:t>
            </w:r>
          </w:p>
        </w:tc>
      </w:tr>
      <w:tr w:rsidR="003E3485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A87F38" w:rsidRDefault="00F00E0F" w:rsidP="00324A1F">
            <w:pPr>
              <w:rPr>
                <w:rFonts w:ascii="Arial" w:eastAsia="Times New Roman" w:hAnsi="Arial" w:cs="Arial"/>
                <w:color w:val="FF0000"/>
                <w:lang w:val="es-EC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05/09</w:t>
            </w:r>
            <w:r w:rsidR="00E516F3" w:rsidRPr="00E516F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/2016</w:t>
            </w:r>
          </w:p>
        </w:tc>
      </w:tr>
      <w:tr w:rsidR="00FA1B15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661253" w:rsidRDefault="00E26E8C" w:rsidP="00F47515">
            <w:pPr>
              <w:rPr>
                <w:rFonts w:ascii="Arial" w:eastAsia="Times New Roman" w:hAnsi="Arial" w:cs="Arial"/>
                <w:lang w:val="es-EC"/>
              </w:rPr>
            </w:pPr>
            <w:r w:rsidRPr="00661253">
              <w:rPr>
                <w:rFonts w:ascii="Arial" w:hAnsi="Arial" w:cs="Arial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661253" w:rsidRDefault="00112102" w:rsidP="00E26E8C">
            <w:pPr>
              <w:jc w:val="center"/>
              <w:rPr>
                <w:rFonts w:ascii="Arial" w:eastAsia="Times New Roman" w:hAnsi="Arial" w:cs="Arial"/>
                <w:lang w:val="es-EC"/>
              </w:rPr>
            </w:pPr>
            <w:r w:rsidRPr="0066125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</w:t>
            </w:r>
            <w:r w:rsidR="00E26E8C" w:rsidRPr="0066125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</w:t>
            </w:r>
          </w:p>
        </w:tc>
      </w:tr>
      <w:tr w:rsidR="003E3485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Default="00112102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A87F38" w:rsidRDefault="00A33B1E" w:rsidP="009112A5">
            <w:pPr>
              <w:jc w:val="both"/>
              <w:rPr>
                <w:rFonts w:ascii="Arial" w:eastAsia="Times New Roman" w:hAnsi="Arial" w:cs="Arial"/>
                <w:color w:val="FF0000"/>
                <w:lang w:val="es-EC"/>
              </w:rPr>
            </w:pPr>
            <w:r w:rsidRPr="0066125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Default="009415B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CE5E29" w:rsidRDefault="00CE5E29" w:rsidP="00316342"/>
    <w:p w:rsidR="00415F37" w:rsidRDefault="00415F37" w:rsidP="00316342"/>
    <w:p w:rsidR="00415F37" w:rsidRDefault="00415F37" w:rsidP="00316342"/>
    <w:p w:rsidR="002F036A" w:rsidRDefault="002F036A" w:rsidP="00316342"/>
    <w:p w:rsidR="007B695A" w:rsidRDefault="007B695A" w:rsidP="00316342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C653EF">
            <w:pPr>
              <w:widowControl w:val="0"/>
              <w:autoSpaceDE w:val="0"/>
              <w:autoSpaceDN w:val="0"/>
              <w:adjustRightInd w:val="0"/>
              <w:spacing w:after="240"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AF0E47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316342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5B9" w:rsidRDefault="009415B9" w:rsidP="00824626">
      <w:r>
        <w:separator/>
      </w:r>
    </w:p>
  </w:endnote>
  <w:endnote w:type="continuationSeparator" w:id="0">
    <w:p w:rsidR="009415B9" w:rsidRDefault="009415B9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5B9" w:rsidRDefault="009415B9" w:rsidP="00824626">
      <w:r>
        <w:separator/>
      </w:r>
    </w:p>
  </w:footnote>
  <w:footnote w:type="continuationSeparator" w:id="0">
    <w:p w:rsidR="009415B9" w:rsidRDefault="009415B9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81CD6"/>
    <w:multiLevelType w:val="multilevel"/>
    <w:tmpl w:val="D524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15"/>
    <w:rsid w:val="000053D4"/>
    <w:rsid w:val="00027267"/>
    <w:rsid w:val="0002778C"/>
    <w:rsid w:val="00053307"/>
    <w:rsid w:val="00056DAF"/>
    <w:rsid w:val="00063680"/>
    <w:rsid w:val="00073D37"/>
    <w:rsid w:val="00085ABA"/>
    <w:rsid w:val="00091A22"/>
    <w:rsid w:val="000A2799"/>
    <w:rsid w:val="000D072C"/>
    <w:rsid w:val="000D4B14"/>
    <w:rsid w:val="000D68B0"/>
    <w:rsid w:val="000D7B6D"/>
    <w:rsid w:val="000E4D51"/>
    <w:rsid w:val="000F2676"/>
    <w:rsid w:val="000F36A3"/>
    <w:rsid w:val="000F79EC"/>
    <w:rsid w:val="00103247"/>
    <w:rsid w:val="00112102"/>
    <w:rsid w:val="00114EDE"/>
    <w:rsid w:val="00117582"/>
    <w:rsid w:val="00117656"/>
    <w:rsid w:val="00123FE4"/>
    <w:rsid w:val="0012440E"/>
    <w:rsid w:val="0014528E"/>
    <w:rsid w:val="00154499"/>
    <w:rsid w:val="00156638"/>
    <w:rsid w:val="00181BB4"/>
    <w:rsid w:val="00183592"/>
    <w:rsid w:val="001851B3"/>
    <w:rsid w:val="0019417D"/>
    <w:rsid w:val="00194D4C"/>
    <w:rsid w:val="00196BE8"/>
    <w:rsid w:val="001A4B9B"/>
    <w:rsid w:val="001A5D42"/>
    <w:rsid w:val="001B0689"/>
    <w:rsid w:val="001B426C"/>
    <w:rsid w:val="001D6689"/>
    <w:rsid w:val="001F7BA8"/>
    <w:rsid w:val="0022240C"/>
    <w:rsid w:val="00223F39"/>
    <w:rsid w:val="00242A13"/>
    <w:rsid w:val="00242F64"/>
    <w:rsid w:val="00245815"/>
    <w:rsid w:val="00252015"/>
    <w:rsid w:val="00252DBA"/>
    <w:rsid w:val="00263A69"/>
    <w:rsid w:val="00297447"/>
    <w:rsid w:val="002D20C6"/>
    <w:rsid w:val="002E3D11"/>
    <w:rsid w:val="002E5C54"/>
    <w:rsid w:val="002F036A"/>
    <w:rsid w:val="002F3C7C"/>
    <w:rsid w:val="00313B1F"/>
    <w:rsid w:val="00316342"/>
    <w:rsid w:val="00321705"/>
    <w:rsid w:val="00324A1F"/>
    <w:rsid w:val="00330195"/>
    <w:rsid w:val="003372C1"/>
    <w:rsid w:val="003379D8"/>
    <w:rsid w:val="00350BBE"/>
    <w:rsid w:val="003557EE"/>
    <w:rsid w:val="0037709E"/>
    <w:rsid w:val="003806A4"/>
    <w:rsid w:val="00384A5A"/>
    <w:rsid w:val="00386DC6"/>
    <w:rsid w:val="0038707C"/>
    <w:rsid w:val="00387A01"/>
    <w:rsid w:val="00387FE0"/>
    <w:rsid w:val="00393996"/>
    <w:rsid w:val="00397045"/>
    <w:rsid w:val="003A6AA8"/>
    <w:rsid w:val="003C647E"/>
    <w:rsid w:val="003D1FD8"/>
    <w:rsid w:val="003E3485"/>
    <w:rsid w:val="003E517F"/>
    <w:rsid w:val="003F2C3C"/>
    <w:rsid w:val="004138EF"/>
    <w:rsid w:val="00415F37"/>
    <w:rsid w:val="00420B4C"/>
    <w:rsid w:val="00426EE8"/>
    <w:rsid w:val="0042721E"/>
    <w:rsid w:val="00434F3D"/>
    <w:rsid w:val="00436FB2"/>
    <w:rsid w:val="00441972"/>
    <w:rsid w:val="00451A0F"/>
    <w:rsid w:val="0045570F"/>
    <w:rsid w:val="004646AC"/>
    <w:rsid w:val="00465530"/>
    <w:rsid w:val="00475782"/>
    <w:rsid w:val="004B6AEB"/>
    <w:rsid w:val="004B7BDD"/>
    <w:rsid w:val="004B7ED8"/>
    <w:rsid w:val="004D31A9"/>
    <w:rsid w:val="004D5A80"/>
    <w:rsid w:val="004D69C3"/>
    <w:rsid w:val="004E7019"/>
    <w:rsid w:val="004F4F09"/>
    <w:rsid w:val="005006BC"/>
    <w:rsid w:val="00501012"/>
    <w:rsid w:val="005013EA"/>
    <w:rsid w:val="005043FA"/>
    <w:rsid w:val="0050576C"/>
    <w:rsid w:val="00506A81"/>
    <w:rsid w:val="00510518"/>
    <w:rsid w:val="005124D2"/>
    <w:rsid w:val="005173AF"/>
    <w:rsid w:val="00521064"/>
    <w:rsid w:val="00521E05"/>
    <w:rsid w:val="005226D0"/>
    <w:rsid w:val="00523F21"/>
    <w:rsid w:val="00525317"/>
    <w:rsid w:val="005375EE"/>
    <w:rsid w:val="0054695E"/>
    <w:rsid w:val="0054728D"/>
    <w:rsid w:val="00553478"/>
    <w:rsid w:val="005553E3"/>
    <w:rsid w:val="00561C0D"/>
    <w:rsid w:val="00566E33"/>
    <w:rsid w:val="00570E2A"/>
    <w:rsid w:val="00581EEB"/>
    <w:rsid w:val="00583C5C"/>
    <w:rsid w:val="00584FEC"/>
    <w:rsid w:val="0059356C"/>
    <w:rsid w:val="005A1D55"/>
    <w:rsid w:val="005A4565"/>
    <w:rsid w:val="005A56A8"/>
    <w:rsid w:val="005B097A"/>
    <w:rsid w:val="005B1237"/>
    <w:rsid w:val="005C3D4D"/>
    <w:rsid w:val="005C5FC1"/>
    <w:rsid w:val="005C7DE1"/>
    <w:rsid w:val="005D51F4"/>
    <w:rsid w:val="005D541C"/>
    <w:rsid w:val="005D5F57"/>
    <w:rsid w:val="005E0D2E"/>
    <w:rsid w:val="005E2103"/>
    <w:rsid w:val="005F78AA"/>
    <w:rsid w:val="00603389"/>
    <w:rsid w:val="00611BB5"/>
    <w:rsid w:val="00620D43"/>
    <w:rsid w:val="00633FEB"/>
    <w:rsid w:val="0063444E"/>
    <w:rsid w:val="00647126"/>
    <w:rsid w:val="006521D0"/>
    <w:rsid w:val="00655535"/>
    <w:rsid w:val="00661253"/>
    <w:rsid w:val="00662322"/>
    <w:rsid w:val="00664538"/>
    <w:rsid w:val="006676C7"/>
    <w:rsid w:val="0067004D"/>
    <w:rsid w:val="0067243B"/>
    <w:rsid w:val="00676737"/>
    <w:rsid w:val="006845DC"/>
    <w:rsid w:val="00690648"/>
    <w:rsid w:val="00690E3C"/>
    <w:rsid w:val="00695BA8"/>
    <w:rsid w:val="006A1A0B"/>
    <w:rsid w:val="006A59F5"/>
    <w:rsid w:val="006B00C3"/>
    <w:rsid w:val="006C5B68"/>
    <w:rsid w:val="006D5004"/>
    <w:rsid w:val="006F70AC"/>
    <w:rsid w:val="00700938"/>
    <w:rsid w:val="0070448D"/>
    <w:rsid w:val="0070609C"/>
    <w:rsid w:val="00717A28"/>
    <w:rsid w:val="007323CC"/>
    <w:rsid w:val="007400BC"/>
    <w:rsid w:val="00756519"/>
    <w:rsid w:val="00757734"/>
    <w:rsid w:val="00763C15"/>
    <w:rsid w:val="00764EC3"/>
    <w:rsid w:val="007675FF"/>
    <w:rsid w:val="007768CD"/>
    <w:rsid w:val="00780CD0"/>
    <w:rsid w:val="00787504"/>
    <w:rsid w:val="007A7B80"/>
    <w:rsid w:val="007B4DAF"/>
    <w:rsid w:val="007B695A"/>
    <w:rsid w:val="007C3D5E"/>
    <w:rsid w:val="007C6C79"/>
    <w:rsid w:val="007C7F63"/>
    <w:rsid w:val="007D08CA"/>
    <w:rsid w:val="007D1B70"/>
    <w:rsid w:val="007D4DAD"/>
    <w:rsid w:val="007E4CF9"/>
    <w:rsid w:val="007E650F"/>
    <w:rsid w:val="007F2A87"/>
    <w:rsid w:val="007F7DAD"/>
    <w:rsid w:val="00810FAE"/>
    <w:rsid w:val="0081464E"/>
    <w:rsid w:val="008227C7"/>
    <w:rsid w:val="00824626"/>
    <w:rsid w:val="00832F33"/>
    <w:rsid w:val="008353CD"/>
    <w:rsid w:val="0086033A"/>
    <w:rsid w:val="00867224"/>
    <w:rsid w:val="0089715E"/>
    <w:rsid w:val="008B4CDD"/>
    <w:rsid w:val="008C4D85"/>
    <w:rsid w:val="008D02DC"/>
    <w:rsid w:val="008D400F"/>
    <w:rsid w:val="008D4586"/>
    <w:rsid w:val="008D69F6"/>
    <w:rsid w:val="008E233A"/>
    <w:rsid w:val="008E4E35"/>
    <w:rsid w:val="008E57E3"/>
    <w:rsid w:val="008F2EC3"/>
    <w:rsid w:val="008F7E1F"/>
    <w:rsid w:val="00913EFF"/>
    <w:rsid w:val="00916E28"/>
    <w:rsid w:val="00917079"/>
    <w:rsid w:val="00927A1E"/>
    <w:rsid w:val="00932C96"/>
    <w:rsid w:val="009332F8"/>
    <w:rsid w:val="0093465D"/>
    <w:rsid w:val="009415B9"/>
    <w:rsid w:val="00943765"/>
    <w:rsid w:val="00950DE8"/>
    <w:rsid w:val="0096696A"/>
    <w:rsid w:val="00984EEE"/>
    <w:rsid w:val="009A3212"/>
    <w:rsid w:val="009A3991"/>
    <w:rsid w:val="009A6362"/>
    <w:rsid w:val="009A6BF0"/>
    <w:rsid w:val="009C1156"/>
    <w:rsid w:val="009D07C6"/>
    <w:rsid w:val="009D2951"/>
    <w:rsid w:val="009E4729"/>
    <w:rsid w:val="00A060BC"/>
    <w:rsid w:val="00A11416"/>
    <w:rsid w:val="00A259A4"/>
    <w:rsid w:val="00A259AA"/>
    <w:rsid w:val="00A33B1E"/>
    <w:rsid w:val="00A469D3"/>
    <w:rsid w:val="00A47C8C"/>
    <w:rsid w:val="00A515C8"/>
    <w:rsid w:val="00A579DD"/>
    <w:rsid w:val="00A73A10"/>
    <w:rsid w:val="00A855BD"/>
    <w:rsid w:val="00A87F38"/>
    <w:rsid w:val="00AB459E"/>
    <w:rsid w:val="00AB5F8D"/>
    <w:rsid w:val="00AC6EDF"/>
    <w:rsid w:val="00AD6BBA"/>
    <w:rsid w:val="00AD7749"/>
    <w:rsid w:val="00AF0E47"/>
    <w:rsid w:val="00B05258"/>
    <w:rsid w:val="00B05EAF"/>
    <w:rsid w:val="00B151CA"/>
    <w:rsid w:val="00B16F27"/>
    <w:rsid w:val="00B206C3"/>
    <w:rsid w:val="00B30E7D"/>
    <w:rsid w:val="00B31941"/>
    <w:rsid w:val="00B44F00"/>
    <w:rsid w:val="00B50C6A"/>
    <w:rsid w:val="00B54BB2"/>
    <w:rsid w:val="00B55924"/>
    <w:rsid w:val="00B704EF"/>
    <w:rsid w:val="00B85835"/>
    <w:rsid w:val="00B9652B"/>
    <w:rsid w:val="00BA51FE"/>
    <w:rsid w:val="00BA7FFC"/>
    <w:rsid w:val="00BC11A0"/>
    <w:rsid w:val="00BC603C"/>
    <w:rsid w:val="00BC626B"/>
    <w:rsid w:val="00BC6623"/>
    <w:rsid w:val="00BD54ED"/>
    <w:rsid w:val="00BD761E"/>
    <w:rsid w:val="00BE3BB5"/>
    <w:rsid w:val="00C03B94"/>
    <w:rsid w:val="00C11FBF"/>
    <w:rsid w:val="00C306E6"/>
    <w:rsid w:val="00C333D0"/>
    <w:rsid w:val="00C344C7"/>
    <w:rsid w:val="00C44AE7"/>
    <w:rsid w:val="00C44D05"/>
    <w:rsid w:val="00C45288"/>
    <w:rsid w:val="00C47E05"/>
    <w:rsid w:val="00C653EF"/>
    <w:rsid w:val="00C95DAD"/>
    <w:rsid w:val="00CA253A"/>
    <w:rsid w:val="00CB018E"/>
    <w:rsid w:val="00CB02FF"/>
    <w:rsid w:val="00CB6C21"/>
    <w:rsid w:val="00CC1DA6"/>
    <w:rsid w:val="00CC2AE8"/>
    <w:rsid w:val="00CC5B27"/>
    <w:rsid w:val="00CD0068"/>
    <w:rsid w:val="00CD2B43"/>
    <w:rsid w:val="00CD4832"/>
    <w:rsid w:val="00CD515F"/>
    <w:rsid w:val="00CE5E29"/>
    <w:rsid w:val="00CF1EC0"/>
    <w:rsid w:val="00CF3722"/>
    <w:rsid w:val="00D041F5"/>
    <w:rsid w:val="00D17D7C"/>
    <w:rsid w:val="00D225EA"/>
    <w:rsid w:val="00D27F35"/>
    <w:rsid w:val="00D33FCE"/>
    <w:rsid w:val="00D365C3"/>
    <w:rsid w:val="00D37F33"/>
    <w:rsid w:val="00D432F9"/>
    <w:rsid w:val="00D6415B"/>
    <w:rsid w:val="00D6782C"/>
    <w:rsid w:val="00D75C38"/>
    <w:rsid w:val="00D84220"/>
    <w:rsid w:val="00D85F88"/>
    <w:rsid w:val="00D878D6"/>
    <w:rsid w:val="00D93AAC"/>
    <w:rsid w:val="00D9756A"/>
    <w:rsid w:val="00DA25ED"/>
    <w:rsid w:val="00DA523D"/>
    <w:rsid w:val="00DA5B30"/>
    <w:rsid w:val="00DB1489"/>
    <w:rsid w:val="00DB5DF0"/>
    <w:rsid w:val="00DC0D48"/>
    <w:rsid w:val="00DC6C6E"/>
    <w:rsid w:val="00DD1755"/>
    <w:rsid w:val="00DD208A"/>
    <w:rsid w:val="00DD44D3"/>
    <w:rsid w:val="00DE01D2"/>
    <w:rsid w:val="00DF37CC"/>
    <w:rsid w:val="00E05323"/>
    <w:rsid w:val="00E13097"/>
    <w:rsid w:val="00E14D41"/>
    <w:rsid w:val="00E1623F"/>
    <w:rsid w:val="00E252F9"/>
    <w:rsid w:val="00E26E8C"/>
    <w:rsid w:val="00E271C1"/>
    <w:rsid w:val="00E30599"/>
    <w:rsid w:val="00E32EA0"/>
    <w:rsid w:val="00E34741"/>
    <w:rsid w:val="00E34DE7"/>
    <w:rsid w:val="00E36CED"/>
    <w:rsid w:val="00E443EA"/>
    <w:rsid w:val="00E4475B"/>
    <w:rsid w:val="00E516F3"/>
    <w:rsid w:val="00E62844"/>
    <w:rsid w:val="00E73EF6"/>
    <w:rsid w:val="00E74011"/>
    <w:rsid w:val="00E77235"/>
    <w:rsid w:val="00E96785"/>
    <w:rsid w:val="00E974F2"/>
    <w:rsid w:val="00EB3EA0"/>
    <w:rsid w:val="00EC44C4"/>
    <w:rsid w:val="00EE41A6"/>
    <w:rsid w:val="00F0090E"/>
    <w:rsid w:val="00F00E0F"/>
    <w:rsid w:val="00F024D7"/>
    <w:rsid w:val="00F04B24"/>
    <w:rsid w:val="00F126FF"/>
    <w:rsid w:val="00F20CEF"/>
    <w:rsid w:val="00F216B1"/>
    <w:rsid w:val="00F21934"/>
    <w:rsid w:val="00F261EC"/>
    <w:rsid w:val="00F32911"/>
    <w:rsid w:val="00F3567A"/>
    <w:rsid w:val="00F36E13"/>
    <w:rsid w:val="00F408D2"/>
    <w:rsid w:val="00F42A43"/>
    <w:rsid w:val="00F47515"/>
    <w:rsid w:val="00F6306D"/>
    <w:rsid w:val="00F6737D"/>
    <w:rsid w:val="00F7228C"/>
    <w:rsid w:val="00F80BCC"/>
    <w:rsid w:val="00F8590A"/>
    <w:rsid w:val="00FA1B15"/>
    <w:rsid w:val="00FC739D"/>
    <w:rsid w:val="00FD447B"/>
    <w:rsid w:val="00FD624E"/>
    <w:rsid w:val="00FE36D4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  <w:style w:type="character" w:customStyle="1" w:styleId="ya-q-full-text">
    <w:name w:val="ya-q-full-text"/>
    <w:basedOn w:val="Fuentedeprrafopredeter"/>
    <w:rsid w:val="008F7E1F"/>
  </w:style>
  <w:style w:type="paragraph" w:styleId="NormalWeb">
    <w:name w:val="Normal (Web)"/>
    <w:basedOn w:val="Normal"/>
    <w:uiPriority w:val="99"/>
    <w:unhideWhenUsed/>
    <w:rsid w:val="006845DC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  <w:style w:type="character" w:customStyle="1" w:styleId="ya-q-full-text">
    <w:name w:val="ya-q-full-text"/>
    <w:basedOn w:val="Fuentedeprrafopredeter"/>
    <w:rsid w:val="008F7E1F"/>
  </w:style>
  <w:style w:type="paragraph" w:styleId="NormalWeb">
    <w:name w:val="Normal (Web)"/>
    <w:basedOn w:val="Normal"/>
    <w:uiPriority w:val="99"/>
    <w:unhideWhenUsed/>
    <w:rsid w:val="006845DC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Ag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308BD-AE47-49E4-BAE3-F86CEBF5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46</TotalTime>
  <Pages>5</Pages>
  <Words>1047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5</cp:revision>
  <cp:lastPrinted>2015-01-27T18:45:00Z</cp:lastPrinted>
  <dcterms:created xsi:type="dcterms:W3CDTF">2016-10-18T03:50:00Z</dcterms:created>
  <dcterms:modified xsi:type="dcterms:W3CDTF">2016-10-27T16:00:00Z</dcterms:modified>
</cp:coreProperties>
</file>