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26"/>
        <w:gridCol w:w="1228"/>
        <w:gridCol w:w="3218"/>
        <w:gridCol w:w="1563"/>
      </w:tblGrid>
      <w:tr w:rsidR="001009B9" w:rsidRPr="00453CA4" w:rsidTr="00BE0500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1009B9" w:rsidRPr="00FC5CA8" w:rsidRDefault="001009B9" w:rsidP="00FC5CA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</w:pPr>
            <w:r w:rsidRPr="00FC5CA8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1009B9" w:rsidRPr="00453CA4" w:rsidTr="00BD718C">
        <w:trPr>
          <w:trHeight w:val="612"/>
          <w:tblCellSpacing w:w="20" w:type="dxa"/>
        </w:trPr>
        <w:tc>
          <w:tcPr>
            <w:tcW w:w="1793" w:type="pct"/>
            <w:gridSpan w:val="2"/>
            <w:shd w:val="clear" w:color="auto" w:fill="C6D9F1"/>
            <w:vAlign w:val="center"/>
            <w:hideMark/>
          </w:tcPr>
          <w:p w:rsidR="001009B9" w:rsidRPr="006073AA" w:rsidRDefault="001009B9" w:rsidP="0088223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43" w:type="pct"/>
            <w:gridSpan w:val="3"/>
            <w:shd w:val="clear" w:color="auto" w:fill="auto"/>
            <w:vAlign w:val="center"/>
            <w:hideMark/>
          </w:tcPr>
          <w:p w:rsidR="001009B9" w:rsidRPr="006073AA" w:rsidRDefault="001009B9" w:rsidP="00882233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Investigadores </w:t>
            </w:r>
            <w:r w:rsidR="00463DFE"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 </w:t>
            </w: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cada mil integrantes de la Població</w:t>
            </w:r>
            <w:r w:rsidR="00D21D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Económicamente Activa (PEA).</w:t>
            </w:r>
            <w:bookmarkStart w:id="0" w:name="_GoBack"/>
            <w:bookmarkEnd w:id="0"/>
          </w:p>
        </w:tc>
      </w:tr>
      <w:tr w:rsidR="001009B9" w:rsidRPr="00453CA4" w:rsidTr="00BD718C">
        <w:trPr>
          <w:trHeight w:val="1142"/>
          <w:tblCellSpacing w:w="20" w:type="dxa"/>
        </w:trPr>
        <w:tc>
          <w:tcPr>
            <w:tcW w:w="1793" w:type="pct"/>
            <w:gridSpan w:val="2"/>
            <w:shd w:val="clear" w:color="auto" w:fill="C6D9F1"/>
            <w:vAlign w:val="center"/>
            <w:hideMark/>
          </w:tcPr>
          <w:p w:rsidR="001009B9" w:rsidRPr="006073AA" w:rsidRDefault="001009B9" w:rsidP="0088223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43" w:type="pct"/>
            <w:gridSpan w:val="3"/>
            <w:shd w:val="clear" w:color="auto" w:fill="auto"/>
            <w:vAlign w:val="center"/>
            <w:hideMark/>
          </w:tcPr>
          <w:p w:rsidR="000C710B" w:rsidRPr="006073AA" w:rsidRDefault="001009B9" w:rsidP="006073AA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Este indicador expresa el peso relativo de los investigadores en la fuerza de trabajo o pobla</w:t>
            </w:r>
            <w:r w:rsid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ción económicamente activa (PEA), e</w:t>
            </w: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stá expresado en personas físicas y en E</w:t>
            </w:r>
            <w:r w:rsid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quivalente a </w:t>
            </w: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</w:t>
            </w:r>
            <w:r w:rsid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ornada </w:t>
            </w: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ompleta (EJC)</w:t>
            </w: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por cada mil integrantes de la PEA. </w:t>
            </w:r>
          </w:p>
        </w:tc>
      </w:tr>
      <w:tr w:rsidR="001009B9" w:rsidRPr="00453CA4" w:rsidTr="00BE050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1009B9" w:rsidRPr="006073AA" w:rsidRDefault="00AA33E6" w:rsidP="0088223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1009B9"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1009B9" w:rsidRPr="00453CA4" w:rsidTr="00BE050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1009B9" w:rsidRPr="006073AA" w:rsidRDefault="001009B9" w:rsidP="002B36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009B9" w:rsidRPr="006073AA" w:rsidRDefault="00F42630" w:rsidP="00765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0"/>
                        <w:szCs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INV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PF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/1000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PEA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NinvPF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PEA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/1000</m:t>
                    </m:r>
                  </m:den>
                </m:f>
              </m:oMath>
            </m:oMathPara>
          </w:p>
          <w:p w:rsidR="00B856EA" w:rsidRPr="006073AA" w:rsidRDefault="00B856EA" w:rsidP="00765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56EA" w:rsidRPr="00BE0500" w:rsidRDefault="00F42630" w:rsidP="00BE05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0"/>
                        <w:szCs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INV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EJC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/1000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PEA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NinvECJ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PEA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/>
                        <w:sz w:val="20"/>
                        <w:szCs w:val="20"/>
                        <w:lang w:val="en-US"/>
                      </w:rPr>
                      <m:t>/1000</m:t>
                    </m:r>
                  </m:den>
                </m:f>
              </m:oMath>
            </m:oMathPara>
          </w:p>
          <w:p w:rsidR="00BE0500" w:rsidRPr="006073AA" w:rsidRDefault="00BE0500" w:rsidP="00BE05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009B9" w:rsidRPr="006073AA" w:rsidRDefault="00F42630" w:rsidP="00765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INV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PF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 xml:space="preserve"> /1000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PEA</m:t>
                  </m:r>
                </m:sub>
              </m:sSub>
            </m:oMath>
            <w:r w:rsidR="00F74FF2" w:rsidRPr="006073AA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="006073AA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</w:t>
            </w:r>
            <w:r w:rsidR="00F74FF2" w:rsidRPr="006073AA">
              <w:rPr>
                <w:rFonts w:ascii="Arial" w:hAnsi="Arial" w:cs="Arial"/>
                <w:sz w:val="20"/>
                <w:szCs w:val="20"/>
              </w:rPr>
              <w:t>=</w:t>
            </w:r>
            <w:r w:rsidR="001009B9" w:rsidRPr="006073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4FF2" w:rsidRPr="006073AA">
              <w:rPr>
                <w:rFonts w:ascii="Arial" w:hAnsi="Arial" w:cs="Arial"/>
                <w:sz w:val="20"/>
                <w:szCs w:val="20"/>
              </w:rPr>
              <w:t>Número</w:t>
            </w:r>
            <w:r w:rsidR="006073AA">
              <w:rPr>
                <w:rFonts w:ascii="Arial" w:hAnsi="Arial" w:cs="Arial"/>
                <w:sz w:val="20"/>
                <w:szCs w:val="20"/>
              </w:rPr>
              <w:t xml:space="preserve"> de investigadores (</w:t>
            </w:r>
            <w:r w:rsidR="001009B9" w:rsidRPr="006073AA">
              <w:rPr>
                <w:rFonts w:ascii="Arial" w:hAnsi="Arial" w:cs="Arial"/>
                <w:sz w:val="20"/>
                <w:szCs w:val="20"/>
              </w:rPr>
              <w:t>personas físicas</w:t>
            </w:r>
            <w:r w:rsidR="006073AA">
              <w:rPr>
                <w:rFonts w:ascii="Arial" w:hAnsi="Arial" w:cs="Arial"/>
                <w:sz w:val="20"/>
                <w:szCs w:val="20"/>
              </w:rPr>
              <w:t>)</w:t>
            </w:r>
            <w:r w:rsidR="001009B9" w:rsidRPr="006073AA">
              <w:rPr>
                <w:rFonts w:ascii="Arial" w:hAnsi="Arial" w:cs="Arial"/>
                <w:sz w:val="20"/>
                <w:szCs w:val="20"/>
              </w:rPr>
              <w:t xml:space="preserve"> por</w:t>
            </w:r>
            <w:r w:rsidR="006073AA">
              <w:rPr>
                <w:rFonts w:ascii="Arial" w:hAnsi="Arial" w:cs="Arial"/>
                <w:sz w:val="20"/>
                <w:szCs w:val="20"/>
              </w:rPr>
              <w:t xml:space="preserve"> cada mil integrantes de la PEA</w:t>
            </w:r>
          </w:p>
          <w:p w:rsidR="00C72547" w:rsidRPr="006073AA" w:rsidRDefault="00F42630" w:rsidP="00765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INV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EJC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 xml:space="preserve"> /1000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PEA</m:t>
                  </m:r>
                </m:sub>
              </m:sSub>
            </m:oMath>
            <w:r w:rsidR="00F74FF2" w:rsidRPr="006073AA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="006073AA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="00F74FF2" w:rsidRPr="006073AA">
              <w:rPr>
                <w:rFonts w:ascii="Arial" w:hAnsi="Arial" w:cs="Arial"/>
                <w:sz w:val="20"/>
                <w:szCs w:val="20"/>
              </w:rPr>
              <w:t>=</w:t>
            </w:r>
            <w:r w:rsidR="00C72547" w:rsidRPr="006073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4FF2" w:rsidRPr="006073AA">
              <w:rPr>
                <w:rFonts w:ascii="Arial" w:hAnsi="Arial" w:cs="Arial"/>
                <w:sz w:val="20"/>
                <w:szCs w:val="20"/>
              </w:rPr>
              <w:t>Número</w:t>
            </w:r>
            <w:r w:rsidR="006073AA">
              <w:rPr>
                <w:rFonts w:ascii="Arial" w:hAnsi="Arial" w:cs="Arial"/>
                <w:sz w:val="20"/>
                <w:szCs w:val="20"/>
              </w:rPr>
              <w:t xml:space="preserve"> de investigadores (EJC)</w:t>
            </w:r>
            <w:r w:rsidR="00C72547" w:rsidRPr="006073AA">
              <w:rPr>
                <w:rFonts w:ascii="Arial" w:hAnsi="Arial" w:cs="Arial"/>
                <w:sz w:val="20"/>
                <w:szCs w:val="20"/>
              </w:rPr>
              <w:t xml:space="preserve"> por</w:t>
            </w:r>
            <w:r w:rsidR="006073AA">
              <w:rPr>
                <w:rFonts w:ascii="Arial" w:hAnsi="Arial" w:cs="Arial"/>
                <w:sz w:val="20"/>
                <w:szCs w:val="20"/>
              </w:rPr>
              <w:t xml:space="preserve"> cada mil integrantes de la PEA</w:t>
            </w:r>
          </w:p>
          <w:p w:rsidR="001009B9" w:rsidRPr="006073AA" w:rsidRDefault="00F42630" w:rsidP="00765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NinvPF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F74FF2" w:rsidRPr="006073AA">
              <w:rPr>
                <w:rFonts w:ascii="Arial" w:hAnsi="Arial" w:cs="Arial"/>
              </w:rPr>
              <w:t xml:space="preserve"> </w:t>
            </w:r>
            <w:r w:rsidR="006073AA">
              <w:rPr>
                <w:rFonts w:ascii="Arial" w:hAnsi="Arial" w:cs="Arial"/>
              </w:rPr>
              <w:t xml:space="preserve">               </w:t>
            </w:r>
            <w:r w:rsidR="00F74FF2" w:rsidRPr="006073AA">
              <w:rPr>
                <w:rFonts w:ascii="Arial" w:hAnsi="Arial" w:cs="Arial"/>
                <w:sz w:val="20"/>
                <w:szCs w:val="20"/>
              </w:rPr>
              <w:t>=</w:t>
            </w:r>
            <w:r w:rsidR="001009B9" w:rsidRPr="006073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4FF2" w:rsidRPr="006073AA">
              <w:rPr>
                <w:rFonts w:ascii="Arial" w:hAnsi="Arial" w:cs="Arial"/>
                <w:sz w:val="20"/>
                <w:szCs w:val="20"/>
              </w:rPr>
              <w:t>Número</w:t>
            </w:r>
            <w:r w:rsidR="001009B9" w:rsidRPr="006073AA">
              <w:rPr>
                <w:rFonts w:ascii="Arial" w:hAnsi="Arial" w:cs="Arial"/>
                <w:sz w:val="20"/>
                <w:szCs w:val="20"/>
              </w:rPr>
              <w:t xml:space="preserve"> de investigadores en personas físicas</w:t>
            </w:r>
            <w:r w:rsidR="002B365E">
              <w:rPr>
                <w:rFonts w:ascii="Arial" w:hAnsi="Arial" w:cs="Arial"/>
                <w:sz w:val="20"/>
                <w:szCs w:val="20"/>
              </w:rPr>
              <w:t xml:space="preserve"> en el año (t)</w:t>
            </w:r>
          </w:p>
          <w:p w:rsidR="001009B9" w:rsidRPr="006073AA" w:rsidRDefault="00F42630" w:rsidP="00765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NinvECJ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F74FF2" w:rsidRPr="006073AA">
              <w:rPr>
                <w:rFonts w:ascii="Arial" w:hAnsi="Arial" w:cs="Arial"/>
              </w:rPr>
              <w:t xml:space="preserve"> </w:t>
            </w:r>
            <w:r w:rsidR="006073AA">
              <w:rPr>
                <w:rFonts w:ascii="Arial" w:hAnsi="Arial" w:cs="Arial"/>
              </w:rPr>
              <w:t xml:space="preserve">              </w:t>
            </w:r>
            <w:r w:rsidR="00F74FF2" w:rsidRPr="006073AA">
              <w:rPr>
                <w:rFonts w:ascii="Arial" w:hAnsi="Arial" w:cs="Arial"/>
                <w:sz w:val="20"/>
                <w:szCs w:val="20"/>
              </w:rPr>
              <w:t>=</w:t>
            </w:r>
            <w:r w:rsidR="001009B9" w:rsidRPr="006073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4FF2" w:rsidRPr="006073AA">
              <w:rPr>
                <w:rFonts w:ascii="Arial" w:hAnsi="Arial" w:cs="Arial"/>
                <w:sz w:val="20"/>
                <w:szCs w:val="20"/>
              </w:rPr>
              <w:t>Número</w:t>
            </w:r>
            <w:r w:rsidR="001009B9" w:rsidRPr="006073AA">
              <w:rPr>
                <w:rFonts w:ascii="Arial" w:hAnsi="Arial" w:cs="Arial"/>
                <w:sz w:val="20"/>
                <w:szCs w:val="20"/>
              </w:rPr>
              <w:t xml:space="preserve"> de investigadores </w:t>
            </w:r>
            <w:r w:rsidR="006073AA">
              <w:rPr>
                <w:rFonts w:ascii="Arial" w:hAnsi="Arial" w:cs="Arial"/>
                <w:sz w:val="20"/>
                <w:szCs w:val="20"/>
              </w:rPr>
              <w:t>EJC</w:t>
            </w:r>
            <w:r w:rsidR="002B365E">
              <w:rPr>
                <w:rFonts w:ascii="Arial" w:hAnsi="Arial" w:cs="Arial"/>
                <w:sz w:val="20"/>
                <w:szCs w:val="20"/>
              </w:rPr>
              <w:t xml:space="preserve"> en el año (t)</w:t>
            </w:r>
          </w:p>
          <w:p w:rsidR="001009B9" w:rsidRPr="006073AA" w:rsidRDefault="006073AA" w:rsidP="00765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>PE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>/1000</m:t>
              </m:r>
            </m:oMath>
            <w:r w:rsidR="001009B9" w:rsidRPr="006073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365E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1009B9" w:rsidRPr="006073AA">
              <w:rPr>
                <w:rFonts w:ascii="Arial" w:hAnsi="Arial" w:cs="Arial"/>
                <w:sz w:val="20"/>
                <w:szCs w:val="20"/>
              </w:rPr>
              <w:t xml:space="preserve">= </w:t>
            </w:r>
            <w:r>
              <w:rPr>
                <w:rFonts w:ascii="Arial" w:hAnsi="Arial" w:cs="Arial"/>
                <w:sz w:val="20"/>
                <w:szCs w:val="20"/>
              </w:rPr>
              <w:t>Población Económicamente Activa en miles de personas</w:t>
            </w:r>
            <w:r w:rsidR="002B365E">
              <w:rPr>
                <w:rFonts w:ascii="Arial" w:hAnsi="Arial" w:cs="Arial"/>
                <w:sz w:val="20"/>
                <w:szCs w:val="20"/>
              </w:rPr>
              <w:t xml:space="preserve"> en el año (t)</w:t>
            </w:r>
          </w:p>
          <w:p w:rsidR="00625E08" w:rsidRPr="006073AA" w:rsidRDefault="006073AA" w:rsidP="00765BEB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66E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EBE">
              <w:rPr>
                <w:rFonts w:ascii="Arial" w:eastAsia="Times New Roman" w:hAnsi="Arial" w:cs="Arial"/>
                <w:bCs/>
                <w:sz w:val="20"/>
                <w:szCs w:val="20"/>
              </w:rPr>
              <w:t>La categoría Investigador, agrupa a los investigadores + becarios de doctorado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1009B9" w:rsidRPr="00453CA4" w:rsidTr="00BE050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1009B9" w:rsidRPr="006073AA" w:rsidRDefault="001009B9" w:rsidP="0088223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1009B9" w:rsidRPr="00453CA4" w:rsidTr="00BE050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1009B9" w:rsidRDefault="001009B9" w:rsidP="006073AA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sz w:val="20"/>
                <w:szCs w:val="20"/>
              </w:rPr>
              <w:t>Población Económicamente Activa (PEA)</w:t>
            </w:r>
            <w:r w:rsidRPr="006073AA">
              <w:rPr>
                <w:rFonts w:ascii="Arial" w:eastAsia="Times New Roman" w:hAnsi="Arial" w:cs="Arial"/>
                <w:sz w:val="20"/>
                <w:szCs w:val="20"/>
              </w:rPr>
              <w:t>.-</w:t>
            </w: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Son todas las personas de 10 años y más que trabajaron al menos una hora en la semana de referencia, o aunque no trabajaron, tuvieron trabajo (ocupados)</w:t>
            </w:r>
            <w:r w:rsidR="00F74FF2"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o</w:t>
            </w: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bien aquellas personas que no tenían empleo pero estaban disponibles para trabajar (desocupados).</w:t>
            </w:r>
          </w:p>
          <w:p w:rsidR="006073AA" w:rsidRDefault="006073AA" w:rsidP="006073A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Investigadores.-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C769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E6478E" w:rsidRDefault="006073AA" w:rsidP="006073A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Son los estudiantes postgraduados que están cursando estudios de doctorado y que desarrollan actividades de I+D.</w:t>
            </w:r>
          </w:p>
          <w:p w:rsidR="005433FC" w:rsidRDefault="005433FC" w:rsidP="005433F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EB39AC" w:rsidRDefault="00EB39AC" w:rsidP="00EB39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E0500" w:rsidRPr="006073AA" w:rsidRDefault="00BE0500" w:rsidP="006073A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Número de personas empleadas en Ciencia y Tecnología, Equivalente a Jornada Completa (ECJ).-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Se calcula considerando para cada persona únicamente la proporción de su tiempo (o su jornada) que dedica a sus actividades de I+D u otras ACT. Un EJC puede entenderse como el equivalente a una persona-año.</w:t>
            </w:r>
          </w:p>
        </w:tc>
      </w:tr>
      <w:tr w:rsidR="001009B9" w:rsidRPr="00453CA4" w:rsidTr="00BE050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1009B9" w:rsidRPr="006073AA" w:rsidRDefault="001009B9" w:rsidP="0088223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1009B9" w:rsidRPr="00453CA4" w:rsidTr="00BE0500">
        <w:trPr>
          <w:trHeight w:val="990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856EA" w:rsidRPr="006073AA" w:rsidRDefault="001009B9" w:rsidP="00BE050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sz w:val="20"/>
                <w:szCs w:val="20"/>
              </w:rPr>
              <w:t xml:space="preserve">Este indicador se obtiene al dividir el número de investigadores </w:t>
            </w:r>
            <w:r w:rsidR="00AB36E7" w:rsidRPr="006073AA">
              <w:rPr>
                <w:rFonts w:ascii="Arial" w:eastAsia="Times New Roman" w:hAnsi="Arial" w:cs="Arial"/>
                <w:sz w:val="20"/>
                <w:szCs w:val="20"/>
              </w:rPr>
              <w:t>en personas físicas</w:t>
            </w:r>
            <w:r w:rsidRPr="006073AA">
              <w:rPr>
                <w:rFonts w:ascii="Arial" w:eastAsia="Times New Roman" w:hAnsi="Arial" w:cs="Arial"/>
                <w:sz w:val="20"/>
                <w:szCs w:val="20"/>
              </w:rPr>
              <w:t xml:space="preserve"> para el total de integrantes de la Población Económicamente Activa (PEA</w:t>
            </w:r>
            <w:r w:rsidR="006073AA">
              <w:rPr>
                <w:rFonts w:ascii="Arial" w:eastAsia="Times New Roman" w:hAnsi="Arial" w:cs="Arial"/>
                <w:sz w:val="20"/>
                <w:szCs w:val="20"/>
              </w:rPr>
              <w:t>) en miles de personas</w:t>
            </w:r>
            <w:r w:rsidR="00BE0500">
              <w:rPr>
                <w:rFonts w:ascii="Arial" w:eastAsia="Times New Roman" w:hAnsi="Arial" w:cs="Arial"/>
                <w:sz w:val="20"/>
                <w:szCs w:val="20"/>
              </w:rPr>
              <w:t>, la misma metodología de cálculo se aplica para los investigadores en Equivalencia a Jornada Completa (EJC).</w:t>
            </w:r>
          </w:p>
        </w:tc>
      </w:tr>
      <w:tr w:rsidR="00882233" w:rsidRPr="00453CA4" w:rsidTr="00BE0500">
        <w:trPr>
          <w:trHeight w:val="509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882233" w:rsidRPr="006073AA" w:rsidRDefault="00882233" w:rsidP="00BE05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882233" w:rsidRPr="00453CA4" w:rsidTr="00BE0500">
        <w:trPr>
          <w:trHeight w:val="677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882233" w:rsidRPr="006073AA" w:rsidRDefault="00882233" w:rsidP="00BE050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1009B9" w:rsidRPr="00453CA4" w:rsidTr="00BD718C">
        <w:trPr>
          <w:trHeight w:val="741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</w:tcPr>
          <w:p w:rsidR="001009B9" w:rsidRPr="006073AA" w:rsidRDefault="00BE0500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</w:tcPr>
          <w:p w:rsidR="001009B9" w:rsidRPr="006073AA" w:rsidRDefault="00BE0500" w:rsidP="00BE050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Número de personas</w:t>
            </w:r>
            <w:r w:rsidR="005F053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1009B9" w:rsidRPr="00453CA4" w:rsidTr="00BD718C">
        <w:trPr>
          <w:trHeight w:val="1248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  <w:hideMark/>
          </w:tcPr>
          <w:p w:rsidR="001009B9" w:rsidRPr="006073AA" w:rsidRDefault="001009B9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  <w:hideMark/>
          </w:tcPr>
          <w:p w:rsidR="000C710B" w:rsidRPr="000C710B" w:rsidRDefault="00BE0500" w:rsidP="00BE05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Representa el número de investigadores en personas físicas o Equivalente a Jornada Completa (EJC) por cada 1000 integrantes de las PEA.</w:t>
            </w:r>
          </w:p>
        </w:tc>
      </w:tr>
      <w:tr w:rsidR="001009B9" w:rsidRPr="00453CA4" w:rsidTr="008D3F0F">
        <w:trPr>
          <w:trHeight w:val="1480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  <w:hideMark/>
          </w:tcPr>
          <w:p w:rsidR="001009B9" w:rsidRPr="006073AA" w:rsidRDefault="001009B9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  <w:hideMark/>
          </w:tcPr>
          <w:p w:rsidR="001009B9" w:rsidRDefault="00BE0500" w:rsidP="008D3F0F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  <w:p w:rsidR="008D3F0F" w:rsidRPr="006073AA" w:rsidRDefault="008D3F0F" w:rsidP="008D3F0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D3F0F">
              <w:rPr>
                <w:rFonts w:ascii="Arial" w:eastAsia="Times New Roman" w:hAnsi="Arial" w:cs="Arial"/>
                <w:sz w:val="20"/>
                <w:szCs w:val="20"/>
              </w:rPr>
              <w:t>Encuesta ENEMDU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INEC.</w:t>
            </w:r>
          </w:p>
        </w:tc>
      </w:tr>
      <w:tr w:rsidR="001009B9" w:rsidRPr="00453CA4" w:rsidTr="00BD718C">
        <w:trPr>
          <w:trHeight w:val="626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  <w:hideMark/>
          </w:tcPr>
          <w:p w:rsidR="001009B9" w:rsidRPr="006073AA" w:rsidRDefault="001009B9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  <w:hideMark/>
          </w:tcPr>
          <w:p w:rsidR="001009B9" w:rsidRPr="006073AA" w:rsidRDefault="00BE0500" w:rsidP="00BE050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1009B9" w:rsidRPr="00453CA4" w:rsidTr="00BD718C">
        <w:trPr>
          <w:trHeight w:val="494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  <w:hideMark/>
          </w:tcPr>
          <w:p w:rsidR="001009B9" w:rsidRPr="006073AA" w:rsidRDefault="001009B9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  <w:hideMark/>
          </w:tcPr>
          <w:p w:rsidR="001009B9" w:rsidRPr="006073AA" w:rsidRDefault="00BE0500" w:rsidP="00BE050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BD718C" w:rsidRPr="00453CA4" w:rsidTr="00BD718C">
        <w:trPr>
          <w:trHeight w:val="611"/>
          <w:tblCellSpacing w:w="20" w:type="dxa"/>
        </w:trPr>
        <w:tc>
          <w:tcPr>
            <w:tcW w:w="109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D718C" w:rsidRPr="006073AA" w:rsidRDefault="00BD718C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16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BD718C" w:rsidRPr="006073AA" w:rsidRDefault="00BD718C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</w:tcPr>
          <w:p w:rsidR="00BD718C" w:rsidRPr="004A5BF9" w:rsidRDefault="00BD718C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BD718C" w:rsidRPr="00453CA4" w:rsidTr="00BD718C">
        <w:trPr>
          <w:trHeight w:val="513"/>
          <w:tblCellSpacing w:w="20" w:type="dxa"/>
        </w:trPr>
        <w:tc>
          <w:tcPr>
            <w:tcW w:w="109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BD718C" w:rsidRPr="006073AA" w:rsidRDefault="00BD718C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BD718C" w:rsidRPr="006073AA" w:rsidRDefault="00BD718C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</w:tcPr>
          <w:p w:rsidR="00BD718C" w:rsidRPr="004A5BF9" w:rsidRDefault="00BD718C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BD718C" w:rsidRPr="00453CA4" w:rsidTr="00BD718C">
        <w:trPr>
          <w:trHeight w:val="513"/>
          <w:tblCellSpacing w:w="20" w:type="dxa"/>
        </w:trPr>
        <w:tc>
          <w:tcPr>
            <w:tcW w:w="109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D718C" w:rsidRPr="006073AA" w:rsidRDefault="00BD718C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6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BD718C" w:rsidRPr="006073AA" w:rsidRDefault="00BD718C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</w:tcPr>
          <w:p w:rsidR="00BD718C" w:rsidRPr="004A5BF9" w:rsidRDefault="00BD718C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BE0500" w:rsidRPr="00453CA4" w:rsidTr="00BD718C">
        <w:trPr>
          <w:trHeight w:val="799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  <w:hideMark/>
          </w:tcPr>
          <w:p w:rsidR="00BE0500" w:rsidRPr="006073AA" w:rsidRDefault="00BE0500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  <w:hideMark/>
          </w:tcPr>
          <w:p w:rsidR="00BE0500" w:rsidRPr="001C7698" w:rsidRDefault="00BE0500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BE0500" w:rsidRPr="00453CA4" w:rsidTr="00BD718C">
        <w:trPr>
          <w:trHeight w:val="970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  <w:hideMark/>
          </w:tcPr>
          <w:p w:rsidR="00BE0500" w:rsidRPr="006073AA" w:rsidRDefault="00ED3AED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  <w:hideMark/>
          </w:tcPr>
          <w:p w:rsidR="00BE0500" w:rsidRPr="001C7698" w:rsidRDefault="00EB39AC" w:rsidP="00EB39A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BE0500" w:rsidRPr="00453CA4" w:rsidTr="00BD718C">
        <w:trPr>
          <w:trHeight w:val="982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</w:tcPr>
          <w:p w:rsidR="00BE0500" w:rsidRPr="006073AA" w:rsidRDefault="00BE0500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</w:tcPr>
          <w:p w:rsidR="00BE0500" w:rsidRPr="001C7698" w:rsidRDefault="00BE0500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BE0500" w:rsidRPr="001C7698" w:rsidRDefault="008B7159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BE0500" w:rsidRPr="001C7698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1009B9" w:rsidRPr="00453CA4" w:rsidTr="00BD718C">
        <w:trPr>
          <w:trHeight w:val="799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  <w:hideMark/>
          </w:tcPr>
          <w:p w:rsidR="001009B9" w:rsidRPr="006073AA" w:rsidRDefault="001009B9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  <w:hideMark/>
          </w:tcPr>
          <w:p w:rsidR="001009B9" w:rsidRPr="006073AA" w:rsidRDefault="00BE0500" w:rsidP="00BE05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1009B9" w:rsidRPr="00453CA4" w:rsidTr="00BD718C">
        <w:trPr>
          <w:trHeight w:val="781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  <w:hideMark/>
          </w:tcPr>
          <w:p w:rsidR="001009B9" w:rsidRPr="006073AA" w:rsidRDefault="001009B9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  <w:hideMark/>
          </w:tcPr>
          <w:p w:rsidR="001009B9" w:rsidRPr="006073AA" w:rsidRDefault="00BE0500" w:rsidP="00BE05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BE0500" w:rsidRPr="00453CA4" w:rsidTr="00BD718C">
        <w:trPr>
          <w:trHeight w:val="617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</w:tcPr>
          <w:p w:rsidR="00BE0500" w:rsidRPr="001C7698" w:rsidRDefault="00BE0500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711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BE0500" w:rsidRPr="001C7698" w:rsidRDefault="00BE05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769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BE0500" w:rsidRPr="001C7698" w:rsidRDefault="00BE05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1009B9" w:rsidRPr="00453CA4" w:rsidTr="00BD718C">
        <w:trPr>
          <w:trHeight w:val="591"/>
          <w:tblCellSpacing w:w="20" w:type="dxa"/>
        </w:trPr>
        <w:tc>
          <w:tcPr>
            <w:tcW w:w="2436" w:type="pct"/>
            <w:gridSpan w:val="3"/>
            <w:shd w:val="clear" w:color="auto" w:fill="C6D9F1"/>
            <w:vAlign w:val="center"/>
          </w:tcPr>
          <w:p w:rsidR="001009B9" w:rsidRPr="006073AA" w:rsidRDefault="001009B9" w:rsidP="00BE0500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7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501" w:type="pct"/>
            <w:gridSpan w:val="2"/>
            <w:shd w:val="clear" w:color="auto" w:fill="auto"/>
            <w:vAlign w:val="center"/>
          </w:tcPr>
          <w:p w:rsidR="001009B9" w:rsidRPr="006073AA" w:rsidRDefault="00BE0500" w:rsidP="00BE05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F42630"/>
    <w:sectPr w:rsidR="005B2B5B" w:rsidSect="006073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630" w:rsidRDefault="00F42630" w:rsidP="004835DE">
      <w:pPr>
        <w:spacing w:after="0" w:line="240" w:lineRule="auto"/>
      </w:pPr>
      <w:r>
        <w:separator/>
      </w:r>
    </w:p>
  </w:endnote>
  <w:endnote w:type="continuationSeparator" w:id="0">
    <w:p w:rsidR="00F42630" w:rsidRDefault="00F42630" w:rsidP="00483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8AB" w:rsidRDefault="001658A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8197351"/>
      <w:docPartObj>
        <w:docPartGallery w:val="Page Numbers (Bottom of Page)"/>
        <w:docPartUnique/>
      </w:docPartObj>
    </w:sdtPr>
    <w:sdtEndPr/>
    <w:sdtContent>
      <w:p w:rsidR="004835DE" w:rsidRDefault="004835D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4CC" w:rsidRPr="00F854CC">
          <w:rPr>
            <w:noProof/>
            <w:lang w:val="es-ES"/>
          </w:rPr>
          <w:t>1</w:t>
        </w:r>
        <w:r>
          <w:fldChar w:fldCharType="end"/>
        </w:r>
      </w:p>
    </w:sdtContent>
  </w:sdt>
  <w:p w:rsidR="004835DE" w:rsidRDefault="004835D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8AB" w:rsidRDefault="001658A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630" w:rsidRDefault="00F42630" w:rsidP="004835DE">
      <w:pPr>
        <w:spacing w:after="0" w:line="240" w:lineRule="auto"/>
      </w:pPr>
      <w:r>
        <w:separator/>
      </w:r>
    </w:p>
  </w:footnote>
  <w:footnote w:type="continuationSeparator" w:id="0">
    <w:p w:rsidR="00F42630" w:rsidRDefault="00F42630" w:rsidP="00483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8AB" w:rsidRDefault="001658A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DE" w:rsidRDefault="001658AB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781925" cy="605155"/>
          <wp:effectExtent l="0" t="0" r="0" b="0"/>
          <wp:wrapThrough wrapText="bothSides">
            <wp:wrapPolygon edited="0">
              <wp:start x="0" y="0"/>
              <wp:lineTo x="0" y="21079"/>
              <wp:lineTo x="21574" y="21079"/>
              <wp:lineTo x="21574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8AB" w:rsidRDefault="001658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9B9"/>
    <w:rsid w:val="000C710B"/>
    <w:rsid w:val="001009B9"/>
    <w:rsid w:val="00144D39"/>
    <w:rsid w:val="001658AB"/>
    <w:rsid w:val="001931EC"/>
    <w:rsid w:val="00227822"/>
    <w:rsid w:val="0027059F"/>
    <w:rsid w:val="002A5C18"/>
    <w:rsid w:val="002B365E"/>
    <w:rsid w:val="002F6A80"/>
    <w:rsid w:val="00335833"/>
    <w:rsid w:val="00366045"/>
    <w:rsid w:val="00462A19"/>
    <w:rsid w:val="00463DFE"/>
    <w:rsid w:val="004835DE"/>
    <w:rsid w:val="004C2382"/>
    <w:rsid w:val="00534AFB"/>
    <w:rsid w:val="005433FC"/>
    <w:rsid w:val="005A04CE"/>
    <w:rsid w:val="005F053C"/>
    <w:rsid w:val="006073AA"/>
    <w:rsid w:val="00625E08"/>
    <w:rsid w:val="007470AE"/>
    <w:rsid w:val="0077445D"/>
    <w:rsid w:val="00874C32"/>
    <w:rsid w:val="008755AA"/>
    <w:rsid w:val="00882233"/>
    <w:rsid w:val="00884883"/>
    <w:rsid w:val="008A59CD"/>
    <w:rsid w:val="008B7159"/>
    <w:rsid w:val="008D3F0F"/>
    <w:rsid w:val="00982E25"/>
    <w:rsid w:val="009D226D"/>
    <w:rsid w:val="00A2111D"/>
    <w:rsid w:val="00A55DF1"/>
    <w:rsid w:val="00AA33E6"/>
    <w:rsid w:val="00AB36E7"/>
    <w:rsid w:val="00B856EA"/>
    <w:rsid w:val="00BB26AE"/>
    <w:rsid w:val="00BD718C"/>
    <w:rsid w:val="00BE0500"/>
    <w:rsid w:val="00C0394C"/>
    <w:rsid w:val="00C72547"/>
    <w:rsid w:val="00CE4B53"/>
    <w:rsid w:val="00D00DEE"/>
    <w:rsid w:val="00D21DF4"/>
    <w:rsid w:val="00E6478E"/>
    <w:rsid w:val="00EB39AC"/>
    <w:rsid w:val="00ED3AED"/>
    <w:rsid w:val="00EF5774"/>
    <w:rsid w:val="00F42630"/>
    <w:rsid w:val="00F54B09"/>
    <w:rsid w:val="00F74FF2"/>
    <w:rsid w:val="00F854CC"/>
    <w:rsid w:val="00FC5CA8"/>
    <w:rsid w:val="00FF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9B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00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9B9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835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35D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835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35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411AB-95A4-409B-867E-2F861678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558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cpanchez</dc:creator>
  <cp:lastModifiedBy>Yadira Orejuela</cp:lastModifiedBy>
  <cp:revision>31</cp:revision>
  <dcterms:created xsi:type="dcterms:W3CDTF">2015-06-10T14:25:00Z</dcterms:created>
  <dcterms:modified xsi:type="dcterms:W3CDTF">2016-11-16T20:15:00Z</dcterms:modified>
</cp:coreProperties>
</file>