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70"/>
        <w:gridCol w:w="1357"/>
        <w:gridCol w:w="1279"/>
        <w:gridCol w:w="3241"/>
        <w:gridCol w:w="1429"/>
      </w:tblGrid>
      <w:tr w:rsidR="00B26C34" w:rsidRPr="008C4A5A" w:rsidTr="00B21D87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B21D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21D8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E15261">
        <w:trPr>
          <w:trHeight w:val="523"/>
          <w:tblCellSpacing w:w="20" w:type="dxa"/>
        </w:trPr>
        <w:tc>
          <w:tcPr>
            <w:tcW w:w="1839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C742E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96" w:type="pct"/>
            <w:gridSpan w:val="3"/>
            <w:shd w:val="clear" w:color="auto" w:fill="auto"/>
            <w:vAlign w:val="center"/>
            <w:hideMark/>
          </w:tcPr>
          <w:p w:rsidR="00B26C34" w:rsidRPr="008C4A5A" w:rsidRDefault="00970FB3" w:rsidP="00E7489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E748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1D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disciplina científica</w:t>
            </w:r>
            <w:r w:rsidR="00B26C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26C34" w:rsidRPr="008C4A5A" w:rsidTr="00E15261">
        <w:trPr>
          <w:trHeight w:val="606"/>
          <w:tblCellSpacing w:w="20" w:type="dxa"/>
        </w:trPr>
        <w:tc>
          <w:tcPr>
            <w:tcW w:w="1839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C742E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96" w:type="pct"/>
            <w:gridSpan w:val="3"/>
            <w:shd w:val="clear" w:color="auto" w:fill="auto"/>
            <w:vAlign w:val="center"/>
            <w:hideMark/>
          </w:tcPr>
          <w:p w:rsidR="00B26C34" w:rsidRPr="008C4A5A" w:rsidRDefault="00665BD8" w:rsidP="00E7489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D8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</w:t>
            </w:r>
            <w:r w:rsidR="00E7489D">
              <w:rPr>
                <w:rFonts w:ascii="Arial" w:eastAsia="Times New Roman" w:hAnsi="Arial" w:cs="Arial"/>
                <w:sz w:val="20"/>
                <w:szCs w:val="20"/>
              </w:rPr>
              <w:t>porcentaje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 xml:space="preserve"> de investigadores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7489D">
              <w:rPr>
                <w:rFonts w:ascii="Arial" w:eastAsia="Times New Roman" w:hAnsi="Arial" w:cs="Arial"/>
                <w:sz w:val="20"/>
                <w:szCs w:val="20"/>
              </w:rPr>
              <w:t>(personas físicas)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53887">
              <w:rPr>
                <w:rFonts w:ascii="Arial" w:eastAsia="Times New Roman" w:hAnsi="Arial" w:cs="Arial"/>
                <w:sz w:val="20"/>
                <w:szCs w:val="20"/>
              </w:rPr>
              <w:t>categorizado por disciplina científica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B26C34" w:rsidRPr="008C4A5A" w:rsidTr="000426A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B26C34" w:rsidRPr="008C4A5A" w:rsidRDefault="0055004D" w:rsidP="00C742E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0426A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B26C34" w:rsidRPr="008C4A5A" w:rsidRDefault="00B26C34" w:rsidP="00691E6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376A14" w:rsidRDefault="003B4B50" w:rsidP="000426A2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Invdc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Ninvdc_PF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Ninvdc_PF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i=1,…,6</m:t>
                </m:r>
              </m:oMath>
            </m:oMathPara>
          </w:p>
          <w:p w:rsidR="00B26C34" w:rsidRPr="008C4A5A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E7489D" w:rsidRPr="008C4A5A" w:rsidRDefault="00E7489D" w:rsidP="00E7489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E7489D" w:rsidRPr="008C4A5A" w:rsidRDefault="00E7489D" w:rsidP="00E7489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E7489D" w:rsidRPr="008C4A5A" w:rsidRDefault="00E7489D" w:rsidP="00E7489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E7489D" w:rsidRPr="008C4A5A" w:rsidRDefault="00E7489D" w:rsidP="00E7489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E7489D" w:rsidRPr="008C4A5A" w:rsidRDefault="00E7489D" w:rsidP="00E7489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E7489D" w:rsidRDefault="00E7489D" w:rsidP="00E748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8130A5" w:rsidRPr="008130A5" w:rsidRDefault="003B4B50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Invdc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</w:rPr>
                <m:t xml:space="preserve">    </m:t>
              </m:r>
            </m:oMath>
            <w:r w:rsidR="00E7489D">
              <w:rPr>
                <w:rFonts w:ascii="Arial" w:eastAsia="Times New Roman" w:hAnsi="Arial" w:cs="Arial"/>
              </w:rPr>
              <w:t xml:space="preserve">          </w:t>
            </w:r>
            <w:r w:rsidR="008130A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Investigadores </w:t>
            </w:r>
            <w:r w:rsidR="00E7489D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130A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8130A5" w:rsidRPr="00253887">
              <w:rPr>
                <w:rFonts w:ascii="Arial" w:eastAsia="Times New Roman" w:hAnsi="Arial" w:cs="Arial"/>
                <w:bCs/>
                <w:sz w:val="20"/>
                <w:szCs w:val="20"/>
              </w:rPr>
              <w:t>disciplina científica</w:t>
            </w:r>
            <w:r w:rsidR="00EE42E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B26C34" w:rsidRPr="008C4A5A" w:rsidRDefault="003B4B50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Ninvdc_PF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E7489D" w:rsidRPr="00E7489D">
              <w:rPr>
                <w:rFonts w:ascii="Arial" w:eastAsia="Times New Roman" w:hAnsi="Arial" w:cs="Arial"/>
                <w:bCs/>
                <w:color w:val="000000"/>
              </w:rPr>
              <w:t xml:space="preserve">  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8130A5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</w:t>
            </w:r>
            <w:r w:rsidR="00E7489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(personas físicas)</w:t>
            </w:r>
            <w:r w:rsidR="008130A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7489D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130A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disciplina científica (i) </w:t>
            </w:r>
            <w:r w:rsidR="00E7489D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B26C34" w:rsidRDefault="003B4B50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Ninvdc_PF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E7489D" w:rsidRPr="00E7489D">
              <w:rPr>
                <w:rFonts w:ascii="Arial" w:eastAsia="Times New Roman" w:hAnsi="Arial" w:cs="Arial"/>
                <w:bCs/>
                <w:color w:val="000000"/>
              </w:rPr>
              <w:t xml:space="preserve">   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E7489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Investigadores </w:t>
            </w:r>
            <w:r w:rsidR="00E7489D">
              <w:rPr>
                <w:rFonts w:ascii="Arial" w:eastAsia="Times New Roman" w:hAnsi="Arial" w:cs="Arial"/>
                <w:bCs/>
                <w:sz w:val="20"/>
                <w:szCs w:val="20"/>
              </w:rPr>
              <w:t>(personas físicas) en el año (t)</w:t>
            </w:r>
          </w:p>
          <w:p w:rsidR="007D48E3" w:rsidRPr="008C4A5A" w:rsidRDefault="00E7489D" w:rsidP="0013739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0426A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C742E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0426A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691E61" w:rsidRDefault="00691E61" w:rsidP="00691E6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691E61" w:rsidRDefault="00691E61" w:rsidP="00691E6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218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Campos científicos y tecnológicos.- </w:t>
            </w:r>
            <w:r w:rsidRPr="0032184A">
              <w:rPr>
                <w:rFonts w:ascii="Arial" w:eastAsia="Times New Roman" w:hAnsi="Arial" w:cs="Arial"/>
                <w:bCs/>
                <w:sz w:val="20"/>
                <w:szCs w:val="20"/>
              </w:rPr>
              <w:t>Según la OCDE, el análisis en este sentido comprende las ciencias exactas, las naturales y la ingeniería; así como las ciencias sociales y las humanidades, sin hacer distinción entre ambas.</w:t>
            </w: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E7489D" w:rsidRPr="0032184A" w:rsidRDefault="00E7489D" w:rsidP="00B619BC">
            <w:pPr>
              <w:autoSpaceDE w:val="0"/>
              <w:autoSpaceDN w:val="0"/>
              <w:adjustRightInd w:val="0"/>
              <w:spacing w:before="240"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Ciencias Médicas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E7489D" w:rsidRPr="0032184A" w:rsidRDefault="00E7489D" w:rsidP="00E7489D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E7489D" w:rsidRPr="00A31A20" w:rsidRDefault="00E7489D" w:rsidP="00691E6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="00691E6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rte.</w:t>
            </w:r>
          </w:p>
        </w:tc>
      </w:tr>
      <w:tr w:rsidR="00B26C34" w:rsidRPr="008C4A5A" w:rsidTr="000426A2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C742E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0426A2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8C4A5A" w:rsidRDefault="00C9689C" w:rsidP="00E1526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Este indicador se obtiene al dividir el número de investigadores e</w:t>
            </w:r>
            <w:r w:rsidR="009A4485">
              <w:rPr>
                <w:rFonts w:ascii="Arial" w:eastAsia="Times New Roman" w:hAnsi="Arial" w:cs="Arial"/>
                <w:sz w:val="20"/>
                <w:szCs w:val="20"/>
              </w:rPr>
              <w:t>n personas físicas dentro de una disciplina científica</w:t>
            </w:r>
            <w:r w:rsidR="00EE42E8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9A448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 el año (t) para el total de investigadores en p</w:t>
            </w:r>
            <w:r w:rsidR="009F63FF">
              <w:rPr>
                <w:rFonts w:ascii="Arial" w:eastAsia="Times New Roman" w:hAnsi="Arial" w:cs="Arial"/>
                <w:sz w:val="20"/>
                <w:szCs w:val="20"/>
              </w:rPr>
              <w:t>ersonas físicas para el año (t), multiplicado por cien para expresarlo en porcentaje.</w:t>
            </w:r>
          </w:p>
        </w:tc>
      </w:tr>
      <w:tr w:rsidR="00C742E5" w:rsidRPr="008C4A5A" w:rsidTr="00C742E5">
        <w:trPr>
          <w:trHeight w:val="387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C742E5" w:rsidRPr="002A0D91" w:rsidRDefault="00C742E5" w:rsidP="00C742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C742E5" w:rsidRPr="008C4A5A" w:rsidTr="00C742E5">
        <w:trPr>
          <w:trHeight w:val="507"/>
          <w:tblCellSpacing w:w="20" w:type="dxa"/>
        </w:trPr>
        <w:tc>
          <w:tcPr>
            <w:tcW w:w="4956" w:type="pct"/>
            <w:gridSpan w:val="5"/>
            <w:shd w:val="clear" w:color="auto" w:fill="auto"/>
            <w:vAlign w:val="center"/>
            <w:hideMark/>
          </w:tcPr>
          <w:p w:rsidR="00C742E5" w:rsidRPr="008C4A5A" w:rsidRDefault="00C742E5" w:rsidP="00C742E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</w:t>
            </w: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742E5" w:rsidRPr="008C4A5A" w:rsidTr="00E15261">
        <w:trPr>
          <w:trHeight w:val="587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</w:tcPr>
          <w:p w:rsidR="00C742E5" w:rsidRPr="008C4A5A" w:rsidRDefault="00C742E5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</w:tcPr>
          <w:p w:rsidR="00C742E5" w:rsidRPr="008C4A5A" w:rsidRDefault="00C742E5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C34" w:rsidRPr="008C4A5A" w:rsidTr="00E15261">
        <w:trPr>
          <w:trHeight w:val="924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B26C34" w:rsidRPr="008C4A5A" w:rsidRDefault="00EE42E8" w:rsidP="00E1526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resenta el número de investigadores</w:t>
            </w:r>
            <w:r w:rsid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A4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su disciplina científica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al total de investigadores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C742E5" w:rsidRPr="008C4A5A" w:rsidTr="00E15261">
        <w:trPr>
          <w:trHeight w:val="627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C742E5" w:rsidRPr="006073AA" w:rsidRDefault="00C742E5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C742E5" w:rsidRPr="006073AA" w:rsidRDefault="00C742E5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C742E5" w:rsidRPr="008C4A5A" w:rsidTr="00E15261">
        <w:trPr>
          <w:trHeight w:val="599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C742E5" w:rsidRPr="006073AA" w:rsidRDefault="00C742E5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C742E5" w:rsidRPr="006073AA" w:rsidRDefault="00C742E5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C742E5" w:rsidRPr="008C4A5A" w:rsidTr="00E15261">
        <w:trPr>
          <w:trHeight w:val="392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C742E5" w:rsidRPr="006073AA" w:rsidRDefault="00C742E5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C742E5" w:rsidRPr="006073AA" w:rsidRDefault="00C742E5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C742E5" w:rsidRPr="008C4A5A" w:rsidTr="00E15261">
        <w:trPr>
          <w:trHeight w:val="483"/>
          <w:tblCellSpacing w:w="20" w:type="dxa"/>
        </w:trPr>
        <w:tc>
          <w:tcPr>
            <w:tcW w:w="1132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C742E5" w:rsidRPr="008C4A5A" w:rsidRDefault="00C742E5" w:rsidP="00E1526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C742E5" w:rsidRPr="008C4A5A" w:rsidRDefault="00C742E5" w:rsidP="00E1526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</w:tcPr>
          <w:p w:rsidR="00C742E5" w:rsidRPr="001C7698" w:rsidRDefault="00C742E5" w:rsidP="00E1526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C742E5" w:rsidRPr="008C4A5A" w:rsidTr="00E15261">
        <w:trPr>
          <w:trHeight w:val="513"/>
          <w:tblCellSpacing w:w="20" w:type="dxa"/>
        </w:trPr>
        <w:tc>
          <w:tcPr>
            <w:tcW w:w="1132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C742E5" w:rsidRPr="008C4A5A" w:rsidRDefault="00C742E5" w:rsidP="00E1526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C742E5" w:rsidRPr="008C4A5A" w:rsidRDefault="00C742E5" w:rsidP="00E1526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</w:tcPr>
          <w:p w:rsidR="00C742E5" w:rsidRPr="001C7698" w:rsidRDefault="00AC0D20" w:rsidP="00E1526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0D20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26C34" w:rsidRPr="008C4A5A" w:rsidTr="00E15261">
        <w:trPr>
          <w:trHeight w:val="513"/>
          <w:tblCellSpacing w:w="20" w:type="dxa"/>
        </w:trPr>
        <w:tc>
          <w:tcPr>
            <w:tcW w:w="1132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</w:tcPr>
          <w:p w:rsidR="00B26C34" w:rsidRPr="008C4A5A" w:rsidRDefault="00AC0D20" w:rsidP="00C742E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C0D20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26C34" w:rsidRPr="008C4A5A" w:rsidTr="00E15261">
        <w:trPr>
          <w:trHeight w:val="646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B26C34" w:rsidRPr="008C4A5A" w:rsidRDefault="00B26C34" w:rsidP="000426A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C742E5" w:rsidRPr="008C4A5A" w:rsidTr="00E15261">
        <w:trPr>
          <w:trHeight w:val="897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C742E5" w:rsidRPr="008C4A5A" w:rsidRDefault="00C742E5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C742E5" w:rsidRPr="001C7698" w:rsidRDefault="00B12C0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B26C34" w:rsidRPr="008C4A5A" w:rsidTr="00E15261">
        <w:trPr>
          <w:trHeight w:val="1662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REFERENCIAS BIBLIOGRÁFICAS DE LA CONSTRUCCIÓN DEL INDICADOR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</w:tcPr>
          <w:p w:rsidR="00C742E5" w:rsidRPr="001C7698" w:rsidRDefault="00C742E5" w:rsidP="00C742E5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B26C34" w:rsidRPr="008C4A5A" w:rsidRDefault="00E95DFE" w:rsidP="00E1526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C742E5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C742E5" w:rsidRPr="000376A3" w:rsidTr="00E15261">
        <w:trPr>
          <w:trHeight w:val="799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C742E5" w:rsidRPr="008C4A5A" w:rsidRDefault="00C742E5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C742E5" w:rsidRPr="006073AA" w:rsidRDefault="00C742E5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C742E5" w:rsidRPr="008C4A5A" w:rsidTr="00E15261">
        <w:trPr>
          <w:trHeight w:val="781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  <w:hideMark/>
          </w:tcPr>
          <w:p w:rsidR="00C742E5" w:rsidRPr="008C4A5A" w:rsidRDefault="00C742E5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  <w:hideMark/>
          </w:tcPr>
          <w:p w:rsidR="00C742E5" w:rsidRPr="006073AA" w:rsidRDefault="00C742E5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E15261" w:rsidRPr="008C4A5A" w:rsidTr="00E15261">
        <w:trPr>
          <w:trHeight w:val="617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</w:tcPr>
          <w:p w:rsidR="00C742E5" w:rsidRPr="008C4A5A" w:rsidRDefault="00C742E5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718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C742E5" w:rsidRPr="001C7698" w:rsidRDefault="00C742E5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9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C742E5" w:rsidRPr="001C7698" w:rsidRDefault="00C742E5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C742E5" w:rsidRPr="008C4A5A" w:rsidTr="00E15261">
        <w:trPr>
          <w:trHeight w:val="591"/>
          <w:tblCellSpacing w:w="20" w:type="dxa"/>
        </w:trPr>
        <w:tc>
          <w:tcPr>
            <w:tcW w:w="2504" w:type="pct"/>
            <w:gridSpan w:val="3"/>
            <w:shd w:val="clear" w:color="auto" w:fill="C6D9F1"/>
            <w:vAlign w:val="center"/>
          </w:tcPr>
          <w:p w:rsidR="00C742E5" w:rsidRPr="008C4A5A" w:rsidRDefault="00C742E5" w:rsidP="00C51E0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31" w:type="pct"/>
            <w:gridSpan w:val="2"/>
            <w:shd w:val="clear" w:color="auto" w:fill="auto"/>
            <w:vAlign w:val="center"/>
          </w:tcPr>
          <w:p w:rsidR="00C742E5" w:rsidRPr="008C4A5A" w:rsidRDefault="00C742E5" w:rsidP="000426A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3B4B50"/>
    <w:sectPr w:rsidR="005B2B5B" w:rsidSect="00E15261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B50" w:rsidRDefault="003B4B50" w:rsidP="007D48E3">
      <w:pPr>
        <w:spacing w:after="0" w:line="240" w:lineRule="auto"/>
      </w:pPr>
      <w:r>
        <w:separator/>
      </w:r>
    </w:p>
  </w:endnote>
  <w:endnote w:type="continuationSeparator" w:id="0">
    <w:p w:rsidR="003B4B50" w:rsidRDefault="003B4B50" w:rsidP="007D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338842"/>
      <w:docPartObj>
        <w:docPartGallery w:val="Page Numbers (Bottom of Page)"/>
        <w:docPartUnique/>
      </w:docPartObj>
    </w:sdtPr>
    <w:sdtEndPr/>
    <w:sdtContent>
      <w:p w:rsidR="007D48E3" w:rsidRDefault="007D48E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9BC" w:rsidRPr="00B619BC">
          <w:rPr>
            <w:noProof/>
            <w:lang w:val="es-ES"/>
          </w:rPr>
          <w:t>3</w:t>
        </w:r>
        <w:r>
          <w:fldChar w:fldCharType="end"/>
        </w:r>
      </w:p>
    </w:sdtContent>
  </w:sdt>
  <w:p w:rsidR="007D48E3" w:rsidRDefault="007D48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B50" w:rsidRDefault="003B4B50" w:rsidP="007D48E3">
      <w:pPr>
        <w:spacing w:after="0" w:line="240" w:lineRule="auto"/>
      </w:pPr>
      <w:r>
        <w:separator/>
      </w:r>
    </w:p>
  </w:footnote>
  <w:footnote w:type="continuationSeparator" w:id="0">
    <w:p w:rsidR="003B4B50" w:rsidRDefault="003B4B50" w:rsidP="007D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E3" w:rsidRDefault="005D3918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7819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F31E0"/>
    <w:multiLevelType w:val="hybridMultilevel"/>
    <w:tmpl w:val="163099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943E8"/>
    <w:rsid w:val="000A79FB"/>
    <w:rsid w:val="001316C8"/>
    <w:rsid w:val="0013739D"/>
    <w:rsid w:val="00236185"/>
    <w:rsid w:val="00245C20"/>
    <w:rsid w:val="00253887"/>
    <w:rsid w:val="00272493"/>
    <w:rsid w:val="00273596"/>
    <w:rsid w:val="002B12B9"/>
    <w:rsid w:val="002D6C47"/>
    <w:rsid w:val="00304EE8"/>
    <w:rsid w:val="00306F5D"/>
    <w:rsid w:val="00310346"/>
    <w:rsid w:val="00367E02"/>
    <w:rsid w:val="003B4B50"/>
    <w:rsid w:val="003B6ACF"/>
    <w:rsid w:val="00427DCA"/>
    <w:rsid w:val="004C5CEE"/>
    <w:rsid w:val="004E6A28"/>
    <w:rsid w:val="004F2427"/>
    <w:rsid w:val="00537B41"/>
    <w:rsid w:val="0055004D"/>
    <w:rsid w:val="005953BE"/>
    <w:rsid w:val="005D3918"/>
    <w:rsid w:val="00665BD8"/>
    <w:rsid w:val="00691E61"/>
    <w:rsid w:val="006C0F13"/>
    <w:rsid w:val="007266D8"/>
    <w:rsid w:val="007A3094"/>
    <w:rsid w:val="007B7672"/>
    <w:rsid w:val="007D48E3"/>
    <w:rsid w:val="007F1DE8"/>
    <w:rsid w:val="008071C5"/>
    <w:rsid w:val="008130A5"/>
    <w:rsid w:val="008246CF"/>
    <w:rsid w:val="00855064"/>
    <w:rsid w:val="00885805"/>
    <w:rsid w:val="008B1418"/>
    <w:rsid w:val="008B4C2F"/>
    <w:rsid w:val="008C34A9"/>
    <w:rsid w:val="008D1457"/>
    <w:rsid w:val="008E14C1"/>
    <w:rsid w:val="009134A8"/>
    <w:rsid w:val="00970FB3"/>
    <w:rsid w:val="00980071"/>
    <w:rsid w:val="00994C28"/>
    <w:rsid w:val="009A4485"/>
    <w:rsid w:val="009C688F"/>
    <w:rsid w:val="009F63FF"/>
    <w:rsid w:val="00A31A20"/>
    <w:rsid w:val="00A950C7"/>
    <w:rsid w:val="00AA36AE"/>
    <w:rsid w:val="00AC0D20"/>
    <w:rsid w:val="00AE47E4"/>
    <w:rsid w:val="00B12C07"/>
    <w:rsid w:val="00B21D87"/>
    <w:rsid w:val="00B26C34"/>
    <w:rsid w:val="00B619BC"/>
    <w:rsid w:val="00BB26AE"/>
    <w:rsid w:val="00C57987"/>
    <w:rsid w:val="00C742E5"/>
    <w:rsid w:val="00C96339"/>
    <w:rsid w:val="00C9689C"/>
    <w:rsid w:val="00CF18A4"/>
    <w:rsid w:val="00CF5D4F"/>
    <w:rsid w:val="00D46FE0"/>
    <w:rsid w:val="00D51F4F"/>
    <w:rsid w:val="00D9787F"/>
    <w:rsid w:val="00E1388B"/>
    <w:rsid w:val="00E15261"/>
    <w:rsid w:val="00E168E2"/>
    <w:rsid w:val="00E22BC8"/>
    <w:rsid w:val="00E61D27"/>
    <w:rsid w:val="00E7489D"/>
    <w:rsid w:val="00E95894"/>
    <w:rsid w:val="00E95DFE"/>
    <w:rsid w:val="00EE42E8"/>
    <w:rsid w:val="00EF6509"/>
    <w:rsid w:val="00F022FA"/>
    <w:rsid w:val="00F24C1C"/>
    <w:rsid w:val="00F2746E"/>
    <w:rsid w:val="00F54B09"/>
    <w:rsid w:val="00F74364"/>
    <w:rsid w:val="00F97B9E"/>
    <w:rsid w:val="00FD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D48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48E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D48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8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29</cp:revision>
  <dcterms:created xsi:type="dcterms:W3CDTF">2015-06-10T14:28:00Z</dcterms:created>
  <dcterms:modified xsi:type="dcterms:W3CDTF">2016-11-16T20:02:00Z</dcterms:modified>
</cp:coreProperties>
</file>