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78"/>
        <w:gridCol w:w="1305"/>
        <w:gridCol w:w="3308"/>
        <w:gridCol w:w="1344"/>
      </w:tblGrid>
      <w:tr w:rsidR="00B26C34" w:rsidRPr="008C4A5A" w:rsidTr="00D02845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A500A2" w:rsidRDefault="00B26C34" w:rsidP="00A500A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A500A2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D02845">
        <w:trPr>
          <w:trHeight w:val="612"/>
          <w:tblCellSpacing w:w="20" w:type="dxa"/>
        </w:trPr>
        <w:tc>
          <w:tcPr>
            <w:tcW w:w="1833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04" w:type="pct"/>
            <w:gridSpan w:val="3"/>
            <w:shd w:val="clear" w:color="auto" w:fill="auto"/>
            <w:vAlign w:val="center"/>
            <w:hideMark/>
          </w:tcPr>
          <w:p w:rsidR="00B26C34" w:rsidRPr="008C4A5A" w:rsidRDefault="00970FB3" w:rsidP="00A23C0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A23C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sector de empleo</w:t>
            </w:r>
            <w:r w:rsidR="00B26C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B26C34" w:rsidRPr="008C4A5A" w:rsidTr="00D02845">
        <w:trPr>
          <w:trHeight w:val="606"/>
          <w:tblCellSpacing w:w="20" w:type="dxa"/>
        </w:trPr>
        <w:tc>
          <w:tcPr>
            <w:tcW w:w="1833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04" w:type="pct"/>
            <w:gridSpan w:val="3"/>
            <w:shd w:val="clear" w:color="auto" w:fill="auto"/>
            <w:vAlign w:val="center"/>
            <w:hideMark/>
          </w:tcPr>
          <w:p w:rsidR="00B26C34" w:rsidRPr="008C4A5A" w:rsidRDefault="00665BD8" w:rsidP="00A23C0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Este indicador presenta el número de investigadores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23C09">
              <w:rPr>
                <w:rFonts w:ascii="Arial" w:eastAsia="Times New Roman" w:hAnsi="Arial" w:cs="Arial"/>
                <w:sz w:val="20"/>
                <w:szCs w:val="20"/>
              </w:rPr>
              <w:t>(personas físicas)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5BD8">
              <w:rPr>
                <w:rFonts w:ascii="Arial" w:eastAsia="Times New Roman" w:hAnsi="Arial" w:cs="Arial"/>
                <w:sz w:val="20"/>
                <w:szCs w:val="20"/>
              </w:rPr>
              <w:t>según el sector en el que desempeñan su actividad.</w:t>
            </w:r>
          </w:p>
        </w:tc>
      </w:tr>
      <w:tr w:rsidR="00B26C34" w:rsidRPr="008C4A5A" w:rsidTr="00D0284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703D18" w:rsidP="00425A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D0284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8C4A5A" w:rsidRDefault="00B26C34" w:rsidP="0086092C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376A14" w:rsidRDefault="004D711F" w:rsidP="00F333AD">
            <w:pPr>
              <w:spacing w:after="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INVse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Ninv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Ninv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i=1,…,3;</m:t>
                </m:r>
              </m:oMath>
            </m:oMathPara>
          </w:p>
          <w:p w:rsidR="00B26C34" w:rsidRPr="008C4A5A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26C34" w:rsidRPr="008C4A5A" w:rsidRDefault="00B26C34" w:rsidP="00C67E3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>Gobierno</w:t>
            </w:r>
          </w:p>
          <w:p w:rsidR="00B26C34" w:rsidRPr="008C4A5A" w:rsidRDefault="00B26C34" w:rsidP="00C67E3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BD8">
              <w:rPr>
                <w:rFonts w:ascii="Arial" w:hAnsi="Arial" w:cs="Arial"/>
                <w:sz w:val="20"/>
                <w:szCs w:val="20"/>
              </w:rPr>
              <w:t>Educación Superior</w:t>
            </w:r>
          </w:p>
          <w:p w:rsidR="00B26C34" w:rsidRDefault="00B26C34" w:rsidP="00C67E3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BD8">
              <w:rPr>
                <w:rFonts w:ascii="Arial" w:hAnsi="Arial" w:cs="Arial"/>
                <w:sz w:val="20"/>
                <w:szCs w:val="20"/>
              </w:rPr>
              <w:t>ONG</w:t>
            </w:r>
          </w:p>
          <w:p w:rsidR="00665BD8" w:rsidRDefault="00665BD8" w:rsidP="00F333AD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26C34" w:rsidRPr="008C4A5A" w:rsidRDefault="004D711F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INVse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</w:rPr>
                <m:t xml:space="preserve">   </m:t>
              </m:r>
            </m:oMath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C67E34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 según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sector de empleo</w:t>
            </w:r>
            <w:r w:rsidR="0009563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</w:t>
            </w:r>
            <w:r w:rsidR="00C67E34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  <w:p w:rsidR="00B26C34" w:rsidRDefault="004D711F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 xml:space="preserve">   </m:t>
              </m:r>
            </m:oMath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</w:t>
            </w:r>
            <w:r w:rsidR="00AA54E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del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A54E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sector (i) </w:t>
            </w:r>
            <w:r w:rsidR="00665BD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expresados en personas físicas </w:t>
            </w:r>
            <w:r w:rsidR="00C67E34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AA54E9" w:rsidRDefault="004D711F" w:rsidP="00AA54E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Ninv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 xml:space="preserve">    </m:t>
              </m:r>
            </m:oMath>
            <w:r w:rsidR="00AA54E9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A54E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Investigadores expresados en personas físicas </w:t>
            </w:r>
            <w:r w:rsidR="00AA54E9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(t).</w:t>
            </w:r>
          </w:p>
          <w:p w:rsidR="00E91F6B" w:rsidRPr="008C4A5A" w:rsidRDefault="00C67E34" w:rsidP="00C67E34">
            <w:pPr>
              <w:ind w:left="708" w:hanging="708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D0284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425A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D0284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C67E34" w:rsidRDefault="00C67E34" w:rsidP="0086092C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C67E34" w:rsidRDefault="00C67E34" w:rsidP="00C67E3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C67E34" w:rsidRPr="00691B52" w:rsidRDefault="00C67E34" w:rsidP="00C67E3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Gobierno.-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Comprende todos los ministerios, oficinas y otros organismos que suministran, generalmente a título gratuito, servicios colectivos que no sería económico ni fácil de suministrar de otro modo y que, además, administran los asuntos públicos y la política económica y social de la colectividad y las instituciones privadas sin fines de lucro controladas y financiadas principalmente por la administración. Las empresas públicas se incluyen en el sector de empresas.</w:t>
            </w:r>
          </w:p>
          <w:p w:rsidR="005C266F" w:rsidRDefault="005C266F" w:rsidP="00C67E3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7E34" w:rsidRPr="00691B52" w:rsidRDefault="00C67E34" w:rsidP="00C67E3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Educación Superior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.- Este sector comprende todas las universidades y centros de nivel universitario, independientemente del origen de sus recursos y su personalidad jurídica. Incluye también todos los institutos de investigación, estaciones experimentales y hospitales directamente controlados, administrados o asociados a centros de enseñanza superior.</w:t>
            </w:r>
          </w:p>
          <w:p w:rsidR="00C67E34" w:rsidRDefault="00C67E34" w:rsidP="008609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6092C" w:rsidRDefault="00C9689C" w:rsidP="008609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ONG</w:t>
            </w:r>
            <w:r w:rsidRPr="006C0F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.-</w:t>
            </w:r>
            <w:r w:rsidR="00E22B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86092C" w:rsidRPr="00691B52">
              <w:rPr>
                <w:rFonts w:ascii="Arial" w:eastAsia="Times New Roman" w:hAnsi="Arial" w:cs="Arial"/>
                <w:sz w:val="20"/>
                <w:szCs w:val="20"/>
              </w:rPr>
              <w:t>El campo cubierto por este sector comprende las instituciones privadas sin fines de lucro, que están fuera del mercado y al servicio de las economías domésticas (es decir, del público); y los individuos privados y las economías domésticas.</w:t>
            </w:r>
          </w:p>
          <w:p w:rsidR="0086092C" w:rsidRPr="008C4A5A" w:rsidRDefault="0086092C" w:rsidP="0086092C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B26C34" w:rsidRPr="008C4A5A" w:rsidTr="00D0284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425A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5C266F">
        <w:trPr>
          <w:trHeight w:val="910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8C4A5A" w:rsidRDefault="00C9689C" w:rsidP="008609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Este indicador se obtiene al dividir el número de investigadores en personas físicas dentro de un sector de empleo</w:t>
            </w:r>
            <w:r w:rsidR="0009563B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 el año (t) para el total de investigadores en p</w:t>
            </w:r>
            <w:r w:rsidR="004A6138">
              <w:rPr>
                <w:rFonts w:ascii="Arial" w:eastAsia="Times New Roman" w:hAnsi="Arial" w:cs="Arial"/>
                <w:sz w:val="20"/>
                <w:szCs w:val="20"/>
              </w:rPr>
              <w:t>ersonas físicas para el año (t), multiplicado por cien para expresarlo en porcentaje.</w:t>
            </w:r>
          </w:p>
        </w:tc>
      </w:tr>
      <w:tr w:rsidR="00425ACB" w:rsidRPr="008C4A5A" w:rsidTr="00D02845">
        <w:trPr>
          <w:trHeight w:val="472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425ACB" w:rsidRPr="002A0D91" w:rsidRDefault="00425ACB" w:rsidP="00425A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425ACB" w:rsidRPr="008C4A5A" w:rsidTr="00D02845">
        <w:trPr>
          <w:trHeight w:val="427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425ACB" w:rsidRPr="008C4A5A" w:rsidRDefault="0086092C" w:rsidP="00425AC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B26C34" w:rsidRPr="008C4A5A" w:rsidTr="00D02845">
        <w:trPr>
          <w:trHeight w:val="799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</w:tcPr>
          <w:p w:rsidR="00B26C34" w:rsidRPr="008C4A5A" w:rsidRDefault="00425ACB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:rsidR="00B26C34" w:rsidRPr="008C4A5A" w:rsidRDefault="00B26C34" w:rsidP="000426A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C34" w:rsidRPr="008C4A5A" w:rsidTr="00D02845">
        <w:trPr>
          <w:trHeight w:val="630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B26C34" w:rsidRPr="008C4A5A" w:rsidRDefault="00B26C34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B26C34" w:rsidRPr="008C4A5A" w:rsidRDefault="0009563B" w:rsidP="00425AC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resenta el número de investigadores</w:t>
            </w:r>
            <w:r w:rsid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el sector en el que desempeñan su actividad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respecto al total de investigadores</w:t>
            </w:r>
            <w:r w:rsidR="00665BD8" w:rsidRPr="00665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25ACB" w:rsidRPr="008C4A5A" w:rsidTr="00D02845">
        <w:trPr>
          <w:trHeight w:val="627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6073A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6073AA" w:rsidRDefault="00425ACB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425ACB" w:rsidRPr="008C4A5A" w:rsidTr="00D02845">
        <w:trPr>
          <w:trHeight w:val="741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6073A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6073AA" w:rsidRDefault="00425ACB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425ACB" w:rsidRPr="008C4A5A" w:rsidTr="00D02845">
        <w:trPr>
          <w:trHeight w:val="513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6073A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6073AA" w:rsidRDefault="00425ACB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D02845" w:rsidRPr="008C4A5A" w:rsidTr="00D02845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02845" w:rsidRPr="008C4A5A" w:rsidRDefault="00D02845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79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02845" w:rsidRPr="008C4A5A" w:rsidRDefault="00D02845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:rsidR="00D02845" w:rsidRPr="004A5BF9" w:rsidRDefault="00D02845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02845" w:rsidRPr="008C4A5A" w:rsidTr="00D02845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02845" w:rsidRPr="008C4A5A" w:rsidRDefault="00D02845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9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02845" w:rsidRPr="008C4A5A" w:rsidRDefault="00D02845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:rsidR="00D02845" w:rsidRPr="004A5BF9" w:rsidRDefault="00D02845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D02845" w:rsidRPr="008C4A5A" w:rsidTr="00D02845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02845" w:rsidRPr="008C4A5A" w:rsidRDefault="00D02845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9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02845" w:rsidRPr="008C4A5A" w:rsidRDefault="00D02845" w:rsidP="00425AC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:rsidR="00D02845" w:rsidRPr="004A5BF9" w:rsidRDefault="00D02845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425ACB" w:rsidRPr="008C4A5A" w:rsidTr="00D02845">
        <w:trPr>
          <w:trHeight w:val="799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1C7698" w:rsidRDefault="00425ACB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425ACB" w:rsidRPr="008C4A5A" w:rsidTr="00D02845">
        <w:trPr>
          <w:trHeight w:val="970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1C7698" w:rsidRDefault="00F333AD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425ACB" w:rsidRPr="008C4A5A" w:rsidTr="00D02845">
        <w:trPr>
          <w:trHeight w:val="982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REFERENCIAS BIBLIOGRÁFICAS DE LA CONSTRUCCIÓN DEL INDICADOR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:rsidR="00425ACB" w:rsidRPr="001C7698" w:rsidRDefault="00425ACB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425ACB" w:rsidRPr="001C7698" w:rsidRDefault="007B4D4E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425ACB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425ACB" w:rsidRPr="000376A3" w:rsidTr="00D02845">
        <w:trPr>
          <w:trHeight w:val="799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6073AA" w:rsidRDefault="00425ACB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425ACB" w:rsidRPr="008C4A5A" w:rsidTr="00D02845">
        <w:trPr>
          <w:trHeight w:val="781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  <w:hideMark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  <w:hideMark/>
          </w:tcPr>
          <w:p w:rsidR="00425ACB" w:rsidRPr="006073AA" w:rsidRDefault="00425ACB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425ACB" w:rsidRPr="008C4A5A" w:rsidTr="00D02845">
        <w:trPr>
          <w:trHeight w:val="617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755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25ACB" w:rsidRPr="001C7698" w:rsidRDefault="00425ACB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25ACB" w:rsidRPr="001C7698" w:rsidRDefault="00425ACB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425ACB" w:rsidRPr="008C4A5A" w:rsidTr="00D02845">
        <w:trPr>
          <w:trHeight w:val="591"/>
          <w:tblCellSpacing w:w="20" w:type="dxa"/>
        </w:trPr>
        <w:tc>
          <w:tcPr>
            <w:tcW w:w="2513" w:type="pct"/>
            <w:gridSpan w:val="3"/>
            <w:shd w:val="clear" w:color="auto" w:fill="C6D9F1"/>
            <w:vAlign w:val="center"/>
          </w:tcPr>
          <w:p w:rsidR="00425ACB" w:rsidRPr="008C4A5A" w:rsidRDefault="00425ACB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:rsidR="00425ACB" w:rsidRPr="008C4A5A" w:rsidRDefault="00425ACB" w:rsidP="00425AC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4D711F"/>
    <w:sectPr w:rsidR="005B2B5B" w:rsidSect="00425ACB">
      <w:headerReference w:type="default" r:id="rId7"/>
      <w:footerReference w:type="default" r:id="rId8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11F" w:rsidRDefault="004D711F" w:rsidP="00FB46CA">
      <w:pPr>
        <w:spacing w:after="0" w:line="240" w:lineRule="auto"/>
      </w:pPr>
      <w:r>
        <w:separator/>
      </w:r>
    </w:p>
  </w:endnote>
  <w:endnote w:type="continuationSeparator" w:id="0">
    <w:p w:rsidR="004D711F" w:rsidRDefault="004D711F" w:rsidP="00FB4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7929323"/>
      <w:docPartObj>
        <w:docPartGallery w:val="Page Numbers (Bottom of Page)"/>
        <w:docPartUnique/>
      </w:docPartObj>
    </w:sdtPr>
    <w:sdtEndPr/>
    <w:sdtContent>
      <w:p w:rsidR="00FB46CA" w:rsidRDefault="00FB46C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04B" w:rsidRPr="008C004B">
          <w:rPr>
            <w:noProof/>
            <w:lang w:val="es-ES"/>
          </w:rPr>
          <w:t>1</w:t>
        </w:r>
        <w:r>
          <w:fldChar w:fldCharType="end"/>
        </w:r>
      </w:p>
    </w:sdtContent>
  </w:sdt>
  <w:p w:rsidR="00FB46CA" w:rsidRDefault="00FB46C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11F" w:rsidRDefault="004D711F" w:rsidP="00FB46CA">
      <w:pPr>
        <w:spacing w:after="0" w:line="240" w:lineRule="auto"/>
      </w:pPr>
      <w:r>
        <w:separator/>
      </w:r>
    </w:p>
  </w:footnote>
  <w:footnote w:type="continuationSeparator" w:id="0">
    <w:p w:rsidR="004D711F" w:rsidRDefault="004D711F" w:rsidP="00FB4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CA" w:rsidRDefault="002B301B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-1089660</wp:posOffset>
          </wp:positionH>
          <wp:positionV relativeFrom="paragraph">
            <wp:posOffset>-449580</wp:posOffset>
          </wp:positionV>
          <wp:extent cx="77819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9563B"/>
    <w:rsid w:val="001073B8"/>
    <w:rsid w:val="001316C8"/>
    <w:rsid w:val="00165E35"/>
    <w:rsid w:val="0022443F"/>
    <w:rsid w:val="0023439D"/>
    <w:rsid w:val="00253887"/>
    <w:rsid w:val="00272493"/>
    <w:rsid w:val="00273596"/>
    <w:rsid w:val="002B12B9"/>
    <w:rsid w:val="002B301B"/>
    <w:rsid w:val="002B50D4"/>
    <w:rsid w:val="002D6C47"/>
    <w:rsid w:val="00304EE8"/>
    <w:rsid w:val="00355C1D"/>
    <w:rsid w:val="00361518"/>
    <w:rsid w:val="003839A9"/>
    <w:rsid w:val="003A295D"/>
    <w:rsid w:val="003D33D8"/>
    <w:rsid w:val="00425ACB"/>
    <w:rsid w:val="00463916"/>
    <w:rsid w:val="00464F3F"/>
    <w:rsid w:val="004A6138"/>
    <w:rsid w:val="004D711F"/>
    <w:rsid w:val="004E6A28"/>
    <w:rsid w:val="004F2427"/>
    <w:rsid w:val="00506EF6"/>
    <w:rsid w:val="00537B41"/>
    <w:rsid w:val="005C266F"/>
    <w:rsid w:val="00615D6A"/>
    <w:rsid w:val="00665BD8"/>
    <w:rsid w:val="006C0F13"/>
    <w:rsid w:val="007013F1"/>
    <w:rsid w:val="00703D18"/>
    <w:rsid w:val="0071228D"/>
    <w:rsid w:val="007266D8"/>
    <w:rsid w:val="007B4D4E"/>
    <w:rsid w:val="007B7672"/>
    <w:rsid w:val="008236DB"/>
    <w:rsid w:val="008246CF"/>
    <w:rsid w:val="00855064"/>
    <w:rsid w:val="0086092C"/>
    <w:rsid w:val="008C004B"/>
    <w:rsid w:val="008E14C1"/>
    <w:rsid w:val="009134A8"/>
    <w:rsid w:val="00970FB3"/>
    <w:rsid w:val="00980071"/>
    <w:rsid w:val="009A4485"/>
    <w:rsid w:val="009C1652"/>
    <w:rsid w:val="009D68E7"/>
    <w:rsid w:val="00A23C09"/>
    <w:rsid w:val="00A500A2"/>
    <w:rsid w:val="00A54318"/>
    <w:rsid w:val="00A950C7"/>
    <w:rsid w:val="00AA36AE"/>
    <w:rsid w:val="00AA54E9"/>
    <w:rsid w:val="00AE47E4"/>
    <w:rsid w:val="00B26C34"/>
    <w:rsid w:val="00B97DD7"/>
    <w:rsid w:val="00BB26AE"/>
    <w:rsid w:val="00C22935"/>
    <w:rsid w:val="00C4615F"/>
    <w:rsid w:val="00C67E34"/>
    <w:rsid w:val="00C96339"/>
    <w:rsid w:val="00C9689C"/>
    <w:rsid w:val="00C96D01"/>
    <w:rsid w:val="00CF18A4"/>
    <w:rsid w:val="00CF4A9F"/>
    <w:rsid w:val="00D02845"/>
    <w:rsid w:val="00D46FE0"/>
    <w:rsid w:val="00D51F4F"/>
    <w:rsid w:val="00E168E2"/>
    <w:rsid w:val="00E22BC8"/>
    <w:rsid w:val="00E2530B"/>
    <w:rsid w:val="00E61D27"/>
    <w:rsid w:val="00E91F6B"/>
    <w:rsid w:val="00EF28F1"/>
    <w:rsid w:val="00EF6509"/>
    <w:rsid w:val="00F24C1C"/>
    <w:rsid w:val="00F2746E"/>
    <w:rsid w:val="00F333AD"/>
    <w:rsid w:val="00F54B09"/>
    <w:rsid w:val="00F7109A"/>
    <w:rsid w:val="00F74364"/>
    <w:rsid w:val="00F97B9E"/>
    <w:rsid w:val="00FB46CA"/>
    <w:rsid w:val="00FD6E2F"/>
    <w:rsid w:val="00FF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B46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6C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B46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6C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45</cp:revision>
  <dcterms:created xsi:type="dcterms:W3CDTF">2015-06-10T14:27:00Z</dcterms:created>
  <dcterms:modified xsi:type="dcterms:W3CDTF">2016-11-16T20:15:00Z</dcterms:modified>
</cp:coreProperties>
</file>