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3F1259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3F1259" w:rsidRDefault="00B70F5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3F1259" w:rsidRDefault="00F44C21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novadoras de proceso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significativamente mejorado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durante el periodo de 2012 a 2014.</w:t>
            </w:r>
          </w:p>
        </w:tc>
      </w:tr>
      <w:tr w:rsidR="00423C0E" w:rsidRPr="008C4A5A" w:rsidTr="00AE2FE0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3F1259" w:rsidRDefault="00F44C21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significativamente mejorado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del total de empresas innovadoras de 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3F1259" w:rsidRDefault="00D71F9F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3F1259" w:rsidRDefault="005F7885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inn_pcsm_gn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nn_pcsm_gn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pc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AE2FE0" w:rsidRPr="003F1259" w:rsidRDefault="00AE2FE0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374" w:rsidRPr="003F1259" w:rsidRDefault="009A5374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25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A5374" w:rsidRPr="003F1259" w:rsidRDefault="009A5374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E6" w:rsidRPr="00BF5E38" w:rsidRDefault="004820E6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4820E6" w:rsidRPr="00BF5E38" w:rsidRDefault="004820E6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4820E6" w:rsidRPr="00520FB9" w:rsidRDefault="004820E6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internacional</w:t>
            </w:r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3F1259" w:rsidRDefault="00B713DC" w:rsidP="002833DF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44C21" w:rsidRPr="003F1259" w:rsidRDefault="005F7885" w:rsidP="002833DF">
            <w:pPr>
              <w:tabs>
                <w:tab w:val="left" w:pos="935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inn_pcsm_gn</m:t>
                  </m:r>
                </m:sub>
              </m:sSub>
            </m:oMath>
            <w:r w:rsidR="00B713DC" w:rsidRPr="003F12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E2FE0" w:rsidRPr="003F1259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713DC" w:rsidRPr="003F12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F44C21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significativamente mejorado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3F1259" w:rsidRDefault="00BF077C" w:rsidP="002833DF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44C21" w:rsidRPr="003F1259" w:rsidRDefault="005F7885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nn_pcsm_gn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AE2FE0" w:rsidRPr="003F12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3F12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F44C21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significativamente mejorado 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4820E6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(i) e</w:t>
            </w:r>
            <w:r w:rsidR="00F44C21"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el periodo de referencia</w:t>
            </w:r>
          </w:p>
          <w:p w:rsidR="00BF077C" w:rsidRPr="003F1259" w:rsidRDefault="00BF077C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3F1259" w:rsidRDefault="005F7885" w:rsidP="002833DF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pc</m:t>
                      </m:r>
                    </m:sub>
                  </m:sSub>
                </m:sub>
              </m:sSub>
            </m:oMath>
            <w:r w:rsidR="00B713DC" w:rsidRPr="003F12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AE2FE0" w:rsidRPr="003F12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   </w:t>
            </w:r>
            <w:r w:rsidR="00B713DC" w:rsidRPr="003F12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316348" w:rsidRPr="003F1259">
              <w:rPr>
                <w:rFonts w:ascii="Arial" w:hAnsi="Arial" w:cs="Arial"/>
                <w:sz w:val="20"/>
                <w:szCs w:val="20"/>
              </w:rPr>
              <w:t xml:space="preserve">Total de empresas innovadoras de </w:t>
            </w:r>
            <w:r w:rsidR="00B56393" w:rsidRPr="003F1259">
              <w:rPr>
                <w:rFonts w:ascii="Arial" w:hAnsi="Arial" w:cs="Arial"/>
                <w:sz w:val="20"/>
                <w:szCs w:val="20"/>
              </w:rPr>
              <w:t>proceso</w:t>
            </w:r>
            <w:r w:rsidR="00316348" w:rsidRPr="003F1259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15231F">
        <w:trPr>
          <w:trHeight w:val="699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95619E" w:rsidRDefault="00CC189B" w:rsidP="002833DF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95619E" w:rsidRDefault="00CC189B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</w:t>
            </w:r>
            <w:r w:rsidR="00AE2FE0"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</w:t>
            </w: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95619E" w:rsidRPr="0095619E" w:rsidRDefault="0095619E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95619E" w:rsidRDefault="00CC189B" w:rsidP="002833DF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b/>
                <w:sz w:val="20"/>
                <w:szCs w:val="20"/>
              </w:rPr>
              <w:t>Proceso nuev</w:t>
            </w:r>
            <w:r w:rsidR="004A28DB" w:rsidRPr="0095619E">
              <w:rPr>
                <w:rFonts w:ascii="Arial" w:eastAsia="Times New Roman" w:hAnsi="Arial" w:cs="Arial"/>
                <w:b/>
                <w:sz w:val="20"/>
                <w:szCs w:val="20"/>
              </w:rPr>
              <w:t>o o significativamente mejorado.-</w:t>
            </w:r>
            <w:r w:rsidRPr="0095619E">
              <w:rPr>
                <w:rFonts w:ascii="Arial" w:eastAsia="Times New Roman" w:hAnsi="Arial" w:cs="Arial"/>
                <w:sz w:val="20"/>
                <w:szCs w:val="20"/>
              </w:rPr>
              <w:t xml:space="preserve"> Engloba la introducción de: </w:t>
            </w:r>
          </w:p>
          <w:p w:rsidR="00CC189B" w:rsidRPr="0095619E" w:rsidRDefault="00CC189B" w:rsidP="002833D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 xml:space="preserve">Tecnología de producción nueva o significativamente mejorada. </w:t>
            </w:r>
          </w:p>
          <w:p w:rsidR="00CC189B" w:rsidRPr="0095619E" w:rsidRDefault="00CC189B" w:rsidP="002833D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 xml:space="preserve">Métodos para oferta de servicios o para el manejo y entrega de productos nuevos o significativamente mejorados. </w:t>
            </w:r>
          </w:p>
          <w:p w:rsidR="00CC189B" w:rsidRPr="0095619E" w:rsidRDefault="00CC189B" w:rsidP="002833D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>Equipos y software nuevos o significativamente mejorados en actividades de soporte a la producción.</w:t>
            </w:r>
          </w:p>
          <w:p w:rsidR="00D17F90" w:rsidRDefault="00D17F90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17F90" w:rsidRDefault="00D17F90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833DF" w:rsidRDefault="002833DF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2FE0" w:rsidRPr="0095619E" w:rsidRDefault="00CC189B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 xml:space="preserve">El resultado de la innovación de proceso nuevo o significativamente mejorado debe ser significativo en términos del aumento de la calidad del producto (bien o servicio) o de la disminución del costo unitario de producción y entrega. </w:t>
            </w:r>
          </w:p>
          <w:p w:rsidR="00AE2FE0" w:rsidRPr="0095619E" w:rsidRDefault="00AE2FE0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D4A2C" w:rsidRPr="0095619E" w:rsidRDefault="00CC189B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>La introducción de este proceso puede tener por objetivo la producción o entrega de productos nuevos o significativamente mejorados, que no puedan utilizar los procesos previamente existentes, o simplemente aumentar la eficiencia de la producción y la entrega de productos ya existentes. No son incluidos: cambios pequeños en los procesos productivos existentes y puramente organizacionales.</w:t>
            </w:r>
          </w:p>
          <w:p w:rsidR="0095619E" w:rsidRPr="0095619E" w:rsidRDefault="0095619E" w:rsidP="002833DF">
            <w:pPr>
              <w:spacing w:line="276" w:lineRule="auto"/>
              <w:ind w:right="25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BF6F9D">
        <w:trPr>
          <w:trHeight w:val="45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5619E" w:rsidRDefault="00423C0E" w:rsidP="002833D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BE0007">
        <w:trPr>
          <w:trHeight w:val="110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95619E" w:rsidRDefault="00E8614F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AE2FE0"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AE2FE0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</w:t>
            </w:r>
            <w:r w:rsidR="007A6E63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inno</w:t>
            </w:r>
            <w:r w:rsidR="00AE2FE0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proceso </w:t>
            </w:r>
            <w:r w:rsidR="00BE00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significativamente mejorado</w:t>
            </w:r>
            <w:r w:rsidR="00D17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2FE0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7A6E63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5231F" w:rsidRPr="00956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(i) </w:t>
            </w:r>
            <w:r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</w:t>
            </w:r>
            <w:r w:rsidR="00CC189B"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roceso</w:t>
            </w:r>
            <w:r w:rsidRPr="0095619E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AE2FE0">
        <w:trPr>
          <w:trHeight w:val="50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95619E" w:rsidRDefault="00423C0E" w:rsidP="002833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BE0007">
        <w:trPr>
          <w:trHeight w:val="733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2833DF" w:rsidRDefault="002833DF" w:rsidP="006667A7">
            <w:pPr>
              <w:jc w:val="both"/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 obtener los resultados de este indicador del periodo 2009 – 2011 debe realizarse el respectivo cálculo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3F1259">
        <w:trPr>
          <w:trHeight w:val="8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5619E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5619E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3F1259">
        <w:trPr>
          <w:trHeight w:val="135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5619E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95619E" w:rsidRPr="0095619E" w:rsidRDefault="002833DF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implementación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>proceso significativamente mejorado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AE2FE0">
        <w:trPr>
          <w:trHeight w:val="12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5619E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5619E" w:rsidRDefault="00423C0E" w:rsidP="002833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5619E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AE2FE0">
        <w:trPr>
          <w:trHeight w:val="76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AE2FE0">
        <w:trPr>
          <w:trHeight w:val="49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AE2FE0">
        <w:trPr>
          <w:trHeight w:val="505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F1259" w:rsidRDefault="00CB6F86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AE2FE0">
        <w:trPr>
          <w:trHeight w:val="499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F1259" w:rsidRDefault="00CB6F86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AE2FE0">
        <w:trPr>
          <w:trHeight w:val="49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BF6F9D">
        <w:trPr>
          <w:trHeight w:val="4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3F1259">
        <w:trPr>
          <w:trHeight w:val="10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RELACIÓN CON  INSTRUMENTOS DE PLANIFICACIÓN NACIONAL </w:t>
            </w:r>
            <w:r w:rsidRPr="003F125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3F12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A670FE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25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F125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BF6F9D">
        <w:trPr>
          <w:trHeight w:val="6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422A90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BF6F9D">
        <w:trPr>
          <w:trHeight w:val="86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F1259" w:rsidRDefault="00422A90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---------------</w:t>
            </w:r>
          </w:p>
        </w:tc>
      </w:tr>
      <w:tr w:rsidR="00423C0E" w:rsidRPr="00F65E52" w:rsidTr="00BF6F9D">
        <w:trPr>
          <w:trHeight w:val="63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BF6F9D">
        <w:trPr>
          <w:trHeight w:val="7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F1259" w:rsidRDefault="00423C0E" w:rsidP="002833D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F1259" w:rsidRDefault="00423C0E" w:rsidP="002833D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F12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15231F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885" w:rsidRDefault="005F7885" w:rsidP="003D2923">
      <w:r>
        <w:separator/>
      </w:r>
    </w:p>
  </w:endnote>
  <w:endnote w:type="continuationSeparator" w:id="0">
    <w:p w:rsidR="005F7885" w:rsidRDefault="005F7885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0FE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885" w:rsidRDefault="005F7885" w:rsidP="003D2923">
      <w:r>
        <w:separator/>
      </w:r>
    </w:p>
  </w:footnote>
  <w:footnote w:type="continuationSeparator" w:id="0">
    <w:p w:rsidR="005F7885" w:rsidRDefault="005F7885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C82762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85D4A"/>
    <w:multiLevelType w:val="hybridMultilevel"/>
    <w:tmpl w:val="B0F40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2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973DA"/>
    <w:rsid w:val="000B555C"/>
    <w:rsid w:val="000C15CC"/>
    <w:rsid w:val="000C4352"/>
    <w:rsid w:val="000D0CA3"/>
    <w:rsid w:val="000D529E"/>
    <w:rsid w:val="000F446E"/>
    <w:rsid w:val="0010577B"/>
    <w:rsid w:val="00123835"/>
    <w:rsid w:val="0013200A"/>
    <w:rsid w:val="00134F01"/>
    <w:rsid w:val="0015231F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406A"/>
    <w:rsid w:val="00210ADA"/>
    <w:rsid w:val="0022084C"/>
    <w:rsid w:val="00234140"/>
    <w:rsid w:val="0026150A"/>
    <w:rsid w:val="0026191A"/>
    <w:rsid w:val="002712C6"/>
    <w:rsid w:val="002727A3"/>
    <w:rsid w:val="00275B5E"/>
    <w:rsid w:val="002833DF"/>
    <w:rsid w:val="00296B83"/>
    <w:rsid w:val="00297FC4"/>
    <w:rsid w:val="002A20EA"/>
    <w:rsid w:val="002C04C8"/>
    <w:rsid w:val="002C3DCA"/>
    <w:rsid w:val="002C6258"/>
    <w:rsid w:val="002C7F6B"/>
    <w:rsid w:val="002E463E"/>
    <w:rsid w:val="002F4A5E"/>
    <w:rsid w:val="00302744"/>
    <w:rsid w:val="003147B4"/>
    <w:rsid w:val="00316169"/>
    <w:rsid w:val="00316348"/>
    <w:rsid w:val="003405A6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1259"/>
    <w:rsid w:val="003F705B"/>
    <w:rsid w:val="003F7927"/>
    <w:rsid w:val="00422A90"/>
    <w:rsid w:val="00423C0E"/>
    <w:rsid w:val="0043415D"/>
    <w:rsid w:val="00435C24"/>
    <w:rsid w:val="00475B0D"/>
    <w:rsid w:val="004820E6"/>
    <w:rsid w:val="004A28DB"/>
    <w:rsid w:val="004B27D3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B4952"/>
    <w:rsid w:val="005B504F"/>
    <w:rsid w:val="005C4EF2"/>
    <w:rsid w:val="005D0876"/>
    <w:rsid w:val="005E31B4"/>
    <w:rsid w:val="005F7885"/>
    <w:rsid w:val="00620DE5"/>
    <w:rsid w:val="006353FD"/>
    <w:rsid w:val="006403F8"/>
    <w:rsid w:val="00643CAE"/>
    <w:rsid w:val="006469B6"/>
    <w:rsid w:val="00655CFB"/>
    <w:rsid w:val="00660F1C"/>
    <w:rsid w:val="00660F40"/>
    <w:rsid w:val="006667A7"/>
    <w:rsid w:val="006843AA"/>
    <w:rsid w:val="006A4801"/>
    <w:rsid w:val="006A56EE"/>
    <w:rsid w:val="006A680C"/>
    <w:rsid w:val="006A6D75"/>
    <w:rsid w:val="006A79F7"/>
    <w:rsid w:val="006B1BB7"/>
    <w:rsid w:val="006C7564"/>
    <w:rsid w:val="006D3045"/>
    <w:rsid w:val="006F2387"/>
    <w:rsid w:val="0070649B"/>
    <w:rsid w:val="00716A0F"/>
    <w:rsid w:val="00731B94"/>
    <w:rsid w:val="0074263E"/>
    <w:rsid w:val="007507EB"/>
    <w:rsid w:val="007508E9"/>
    <w:rsid w:val="00764125"/>
    <w:rsid w:val="00777617"/>
    <w:rsid w:val="007A6E63"/>
    <w:rsid w:val="007B5926"/>
    <w:rsid w:val="007B73F1"/>
    <w:rsid w:val="007C2D64"/>
    <w:rsid w:val="007C4D5E"/>
    <w:rsid w:val="007E3C3F"/>
    <w:rsid w:val="00810F24"/>
    <w:rsid w:val="008138F1"/>
    <w:rsid w:val="00815A9B"/>
    <w:rsid w:val="00826D7F"/>
    <w:rsid w:val="0082701E"/>
    <w:rsid w:val="00832DED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8F6CED"/>
    <w:rsid w:val="009213EC"/>
    <w:rsid w:val="00951EE2"/>
    <w:rsid w:val="0095619E"/>
    <w:rsid w:val="00957F50"/>
    <w:rsid w:val="009776B6"/>
    <w:rsid w:val="00985BA6"/>
    <w:rsid w:val="009A5374"/>
    <w:rsid w:val="009B6642"/>
    <w:rsid w:val="009C3BE8"/>
    <w:rsid w:val="009C48CB"/>
    <w:rsid w:val="009C5C42"/>
    <w:rsid w:val="009C7999"/>
    <w:rsid w:val="009D6564"/>
    <w:rsid w:val="009F4FC1"/>
    <w:rsid w:val="00A11E0C"/>
    <w:rsid w:val="00A13874"/>
    <w:rsid w:val="00A20C4C"/>
    <w:rsid w:val="00A416E3"/>
    <w:rsid w:val="00A457F8"/>
    <w:rsid w:val="00A54AEE"/>
    <w:rsid w:val="00A670FE"/>
    <w:rsid w:val="00A711E7"/>
    <w:rsid w:val="00A80DCF"/>
    <w:rsid w:val="00A840CD"/>
    <w:rsid w:val="00A91812"/>
    <w:rsid w:val="00A94EBE"/>
    <w:rsid w:val="00AA0A52"/>
    <w:rsid w:val="00AB55FA"/>
    <w:rsid w:val="00AC0948"/>
    <w:rsid w:val="00AC6A2D"/>
    <w:rsid w:val="00AD2C93"/>
    <w:rsid w:val="00AE2FE0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52873"/>
    <w:rsid w:val="00B56393"/>
    <w:rsid w:val="00B70F5E"/>
    <w:rsid w:val="00B713DC"/>
    <w:rsid w:val="00B75A78"/>
    <w:rsid w:val="00B92E98"/>
    <w:rsid w:val="00BA1FC2"/>
    <w:rsid w:val="00BC07CF"/>
    <w:rsid w:val="00BD39B5"/>
    <w:rsid w:val="00BE0007"/>
    <w:rsid w:val="00BE2719"/>
    <w:rsid w:val="00BE2918"/>
    <w:rsid w:val="00BF0650"/>
    <w:rsid w:val="00BF077C"/>
    <w:rsid w:val="00BF6F9D"/>
    <w:rsid w:val="00C0331A"/>
    <w:rsid w:val="00C07DD8"/>
    <w:rsid w:val="00C251F9"/>
    <w:rsid w:val="00C25A5F"/>
    <w:rsid w:val="00C34D9D"/>
    <w:rsid w:val="00C36FE1"/>
    <w:rsid w:val="00C80ADD"/>
    <w:rsid w:val="00C82762"/>
    <w:rsid w:val="00C92572"/>
    <w:rsid w:val="00CA54D5"/>
    <w:rsid w:val="00CB4AC8"/>
    <w:rsid w:val="00CB6F86"/>
    <w:rsid w:val="00CC189B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17F90"/>
    <w:rsid w:val="00D240EA"/>
    <w:rsid w:val="00D26957"/>
    <w:rsid w:val="00D42C77"/>
    <w:rsid w:val="00D53F17"/>
    <w:rsid w:val="00D652A9"/>
    <w:rsid w:val="00D65581"/>
    <w:rsid w:val="00D71F9F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DF4905"/>
    <w:rsid w:val="00E01303"/>
    <w:rsid w:val="00E07A9A"/>
    <w:rsid w:val="00E07AD4"/>
    <w:rsid w:val="00E42F0D"/>
    <w:rsid w:val="00E5426F"/>
    <w:rsid w:val="00E5480E"/>
    <w:rsid w:val="00E61D3A"/>
    <w:rsid w:val="00E70FDA"/>
    <w:rsid w:val="00E72F94"/>
    <w:rsid w:val="00E73E6E"/>
    <w:rsid w:val="00E74EB1"/>
    <w:rsid w:val="00E76205"/>
    <w:rsid w:val="00E776C1"/>
    <w:rsid w:val="00E84336"/>
    <w:rsid w:val="00E8614F"/>
    <w:rsid w:val="00E87D22"/>
    <w:rsid w:val="00EA1A45"/>
    <w:rsid w:val="00EA2E83"/>
    <w:rsid w:val="00EC158F"/>
    <w:rsid w:val="00EC77EB"/>
    <w:rsid w:val="00ED0D36"/>
    <w:rsid w:val="00EE4FE0"/>
    <w:rsid w:val="00EF74E8"/>
    <w:rsid w:val="00F11338"/>
    <w:rsid w:val="00F133A3"/>
    <w:rsid w:val="00F13D92"/>
    <w:rsid w:val="00F15117"/>
    <w:rsid w:val="00F2285A"/>
    <w:rsid w:val="00F25922"/>
    <w:rsid w:val="00F31DED"/>
    <w:rsid w:val="00F354E0"/>
    <w:rsid w:val="00F44C21"/>
    <w:rsid w:val="00F50868"/>
    <w:rsid w:val="00F53C02"/>
    <w:rsid w:val="00F71395"/>
    <w:rsid w:val="00F84487"/>
    <w:rsid w:val="00FA62A5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E9394-D9B3-454C-9B98-FC669302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638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32</cp:revision>
  <dcterms:created xsi:type="dcterms:W3CDTF">2016-03-12T20:56:00Z</dcterms:created>
  <dcterms:modified xsi:type="dcterms:W3CDTF">2016-10-14T20:47:00Z</dcterms:modified>
</cp:coreProperties>
</file>