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1" w:type="pct"/>
        <w:tblCellSpacing w:w="20" w:type="dxa"/>
        <w:tblInd w:w="-359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93"/>
        <w:gridCol w:w="1192"/>
        <w:gridCol w:w="1108"/>
        <w:gridCol w:w="3480"/>
        <w:gridCol w:w="1206"/>
      </w:tblGrid>
      <w:tr w:rsidR="00D21FB1" w:rsidRPr="009B59A7" w:rsidTr="008240BE">
        <w:trPr>
          <w:trHeight w:val="851"/>
          <w:tblCellSpacing w:w="20" w:type="dxa"/>
        </w:trPr>
        <w:tc>
          <w:tcPr>
            <w:tcW w:w="4954" w:type="pct"/>
            <w:gridSpan w:val="5"/>
            <w:shd w:val="clear" w:color="auto" w:fill="365F91"/>
            <w:noWrap/>
            <w:vAlign w:val="bottom"/>
            <w:hideMark/>
          </w:tcPr>
          <w:p w:rsidR="00D21FB1" w:rsidRPr="009B59A7" w:rsidRDefault="00881E01" w:rsidP="00881E0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</w:t>
            </w:r>
            <w:r w:rsidR="00D21FB1" w:rsidRPr="00881E01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GICA</w:t>
            </w:r>
          </w:p>
        </w:tc>
      </w:tr>
      <w:tr w:rsidR="00D21FB1" w:rsidRPr="009B59A7" w:rsidTr="00CD434F">
        <w:trPr>
          <w:trHeight w:val="792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9F1794" w:rsidRDefault="00093589" w:rsidP="009F179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mpresas que han e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mprendido búsqueda de patentes o 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utiliza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servicios 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informativos o bibliotecas sobre patentes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durante el periodo de 2012 a 2014.</w:t>
            </w:r>
          </w:p>
        </w:tc>
      </w:tr>
      <w:tr w:rsidR="00D21FB1" w:rsidRPr="009B59A7" w:rsidTr="008240BE">
        <w:trPr>
          <w:trHeight w:val="967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9F1794" w:rsidRDefault="00093589" w:rsidP="009F179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Porcentaje de empresas 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han emprendido búsqueda de patentes, utiliza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servicios 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informativos o bibliotecas sobre patentes respecto del total de empresas investigadas. 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9F1794" w:rsidRDefault="000E0F1A" w:rsidP="009F179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D21FB1"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D21FB1" w:rsidRPr="009B59A7" w:rsidTr="000E62FE">
        <w:trPr>
          <w:trHeight w:val="1005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AD67FD" w:rsidRPr="009F1794" w:rsidRDefault="00AD67FD" w:rsidP="009F179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4DB9" w:rsidRPr="009F1794" w:rsidRDefault="000E491B" w:rsidP="009F1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PEBP=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</w:rPr>
                      <m:t>EBP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*100       </m:t>
                </m:r>
              </m:oMath>
            </m:oMathPara>
          </w:p>
          <w:p w:rsidR="00B44DB9" w:rsidRPr="009F1794" w:rsidRDefault="00B44DB9" w:rsidP="009F1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794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44DB9" w:rsidRPr="009F1794" w:rsidRDefault="009F2367" w:rsidP="009F1794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>PEBP</m:t>
              </m:r>
            </m:oMath>
            <w:r w:rsidR="00B44DB9" w:rsidRPr="009F17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= Porcentaje de empresas 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que han 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emprendido búsqueda de patentes o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utiliza 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servicios 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informativ</w:t>
            </w:r>
            <w:r w:rsidR="000E491B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o bibliotecas sobre patentes</w:t>
            </w:r>
          </w:p>
          <w:p w:rsidR="00B44DB9" w:rsidRPr="009F1794" w:rsidRDefault="009F2367" w:rsidP="009F1794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>EBP</m:t>
              </m:r>
            </m:oMath>
            <w:r w:rsidR="009F1794" w:rsidRPr="009F17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  </w:t>
            </w:r>
            <w:r w:rsidR="00B44DB9" w:rsidRPr="009F17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Empresas 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que han 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emprendido búsqueda de patentes o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utiliza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servicios</w:t>
            </w:r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informativos o bibliotecas sobre patentes </w:t>
            </w:r>
            <w:r w:rsidR="000E491B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  <w:r w:rsidR="00B44DB9" w:rsidRPr="009F1794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:rsidR="003B04CA" w:rsidRDefault="000E491B" w:rsidP="009F1794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>N</m:t>
              </m:r>
            </m:oMath>
            <w:r w:rsidR="00B44DB9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="009F1794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B44DB9" w:rsidRPr="009F1794">
              <w:rPr>
                <w:rFonts w:ascii="Arial" w:eastAsia="Times New Roman" w:hAnsi="Arial" w:cs="Arial"/>
                <w:bCs/>
                <w:sz w:val="20"/>
                <w:szCs w:val="20"/>
              </w:rPr>
              <w:t>= Total de empresas</w:t>
            </w:r>
            <w:r w:rsidRPr="009F17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investigadas</w:t>
            </w:r>
          </w:p>
          <w:p w:rsidR="009F1794" w:rsidRPr="009F1794" w:rsidRDefault="009F1794" w:rsidP="009F179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D21FB1" w:rsidRPr="009B59A7" w:rsidTr="008240BE">
        <w:trPr>
          <w:trHeight w:val="862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0E491B" w:rsidRPr="009F1794" w:rsidRDefault="000E491B" w:rsidP="009F1794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1E7E24" w:rsidRPr="009F1794" w:rsidRDefault="009F1794" w:rsidP="009F1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sz w:val="20"/>
                <w:szCs w:val="20"/>
              </w:rPr>
              <w:t>Empresas Innovadoras.-</w:t>
            </w:r>
            <w:r w:rsidR="001E7E24" w:rsidRPr="009F17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1E7E24"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Corresponde a aquellas empresas cuyas actividades de innovación efectivamente han derivado en resultados concretos, esto es, que la empresa efectivamente ha introducido al mercado innovaciones en producto, proceso, organización o comercialización  durante </w:t>
            </w:r>
            <w:r w:rsidR="001E7E24" w:rsidRPr="009F1794">
              <w:rPr>
                <w:rFonts w:ascii="Arial" w:hAnsi="Arial" w:cs="Arial"/>
                <w:sz w:val="20"/>
                <w:szCs w:val="20"/>
              </w:rPr>
              <w:t>el periodo de tiempo considerado.</w:t>
            </w:r>
          </w:p>
          <w:p w:rsidR="00B44DB9" w:rsidRPr="009F1794" w:rsidRDefault="009F1794" w:rsidP="009F179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sz w:val="20"/>
                <w:szCs w:val="20"/>
              </w:rPr>
              <w:t>Métodos de protección formales.-</w:t>
            </w:r>
            <w:r w:rsidR="00B44DB9"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 Se desea conocer los mecanismos empleados por la empresa para la protección de las innovaciones amparados por leyes y regulaciones, que incluyen registros formales (si es que los utiliza). Se sugieren aquí: la marca, las patentes, el diseño industrial, la denominación de origen y los derechos de autor.</w:t>
            </w:r>
          </w:p>
          <w:p w:rsidR="00B44DB9" w:rsidRPr="009F1794" w:rsidRDefault="009F1794" w:rsidP="009F179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sz w:val="20"/>
                <w:szCs w:val="20"/>
              </w:rPr>
              <w:t>Propiedad intelectual.-</w:t>
            </w:r>
            <w:r w:rsidR="00B44DB9" w:rsidRPr="009F17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B44DB9"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La propiedad intelectual constituye un derecho para el titular que se ejerce sobre las creaciones de la mente: invenciones, símbolos, modelos de negocios, entre otras. En general se divide la propiedad intelectual en dos grandes áreas: la propiedad industrial (patentes, marcas, dibujos, modelos industriales, entre otros) y derechos de autor (novelas, obras musicales, películas, entre otras). Existen bases de datos que contienen información de propiedad intelectual y sistemas de búsqueda en línea de dicha información. </w:t>
            </w:r>
          </w:p>
          <w:p w:rsidR="006C3998" w:rsidRPr="009F1794" w:rsidRDefault="009F1794" w:rsidP="009F179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sz w:val="20"/>
                <w:szCs w:val="20"/>
              </w:rPr>
              <w:t>Patente.-</w:t>
            </w:r>
            <w:r w:rsidR="00B44DB9" w:rsidRPr="009F17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B44DB9"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Las patentes, también conocidas con el nombre de patentes de invención consiste en el derecho otorgado a un inventor por un Estado o por una oficina regional que actúa en nombre de varios Estados, y que permite que el inventor impida que terceros exploten por medios comerciales su invención durante un plazo limitado, que suele ser de 20 años. </w:t>
            </w:r>
          </w:p>
        </w:tc>
      </w:tr>
      <w:tr w:rsidR="00D21FB1" w:rsidRPr="009B59A7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D21FB1" w:rsidRPr="009B59A7" w:rsidTr="008240BE">
        <w:trPr>
          <w:trHeight w:val="766"/>
          <w:tblCellSpacing w:w="20" w:type="dxa"/>
        </w:trPr>
        <w:tc>
          <w:tcPr>
            <w:tcW w:w="4954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A00CF1" w:rsidRPr="009F1794" w:rsidRDefault="00B44DB9" w:rsidP="009F179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Se obtiene de dividir el número de empresas 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han e</w:t>
            </w:r>
            <w:r w:rsid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mprendido búsqueda de patentes o 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utiliza</w:t>
            </w:r>
            <w:r w:rsid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servicios </w:t>
            </w:r>
            <w:r w:rsidR="00F77668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formati</w:t>
            </w:r>
            <w:r w:rsidR="00F77668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vos o bibliotecas sobre patentes</w:t>
            </w:r>
            <w:r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 para el total de empresas</w:t>
            </w:r>
            <w:r w:rsidRPr="009F1794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001E36" w:rsidRPr="009B59A7" w:rsidTr="008240BE">
        <w:trPr>
          <w:trHeight w:val="575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001E36" w:rsidRPr="009F1794" w:rsidRDefault="00001E36" w:rsidP="009F17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001E36" w:rsidRPr="009B59A7" w:rsidTr="00CD434F">
        <w:trPr>
          <w:trHeight w:val="796"/>
          <w:tblCellSpacing w:w="20" w:type="dxa"/>
        </w:trPr>
        <w:tc>
          <w:tcPr>
            <w:tcW w:w="4954" w:type="pct"/>
            <w:gridSpan w:val="5"/>
            <w:shd w:val="clear" w:color="auto" w:fill="FFFFFF" w:themeFill="background1"/>
            <w:vAlign w:val="center"/>
          </w:tcPr>
          <w:p w:rsidR="00001E36" w:rsidRPr="009F1794" w:rsidRDefault="00B44DB9" w:rsidP="009F1794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F1794">
              <w:rPr>
                <w:rFonts w:ascii="Arial" w:hAnsi="Arial" w:cs="Arial"/>
                <w:sz w:val="20"/>
                <w:szCs w:val="20"/>
              </w:rPr>
              <w:t>No se dispone información del número de empresas que</w:t>
            </w:r>
            <w:r w:rsidR="009F1794">
              <w:rPr>
                <w:rFonts w:ascii="Arial" w:hAnsi="Arial" w:cs="Arial"/>
                <w:sz w:val="20"/>
                <w:szCs w:val="20"/>
              </w:rPr>
              <w:t xml:space="preserve"> han emprendido </w:t>
            </w:r>
            <w:r w:rsidRPr="009F1794">
              <w:rPr>
                <w:rFonts w:ascii="Arial" w:hAnsi="Arial" w:cs="Arial"/>
                <w:sz w:val="20"/>
                <w:szCs w:val="20"/>
              </w:rPr>
              <w:t>búsqueda de patentes o utiliza servicios informativos o bibliotecas sobre patentes en el periodo 2009 - 2011.</w:t>
            </w:r>
          </w:p>
        </w:tc>
      </w:tr>
      <w:tr w:rsidR="00D21FB1" w:rsidRPr="009B59A7" w:rsidTr="008240BE">
        <w:trPr>
          <w:trHeight w:val="63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F1794" w:rsidRDefault="0068758F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UNIDAD DE MEDIDA </w:t>
            </w:r>
            <w:r w:rsidR="00001E36"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 EXPRESIÓN </w:t>
            </w: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F1794" w:rsidRDefault="00F83EE2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D21FB1" w:rsidRPr="009B59A7" w:rsidTr="005212EB">
        <w:trPr>
          <w:trHeight w:val="1215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984568" w:rsidRPr="009F1794" w:rsidRDefault="00B44DB9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hAnsi="Arial" w:cs="Arial"/>
                <w:sz w:val="20"/>
                <w:szCs w:val="20"/>
              </w:rPr>
              <w:t xml:space="preserve">Refleja la importancia que la empresa le da a la  </w:t>
            </w:r>
            <w:r w:rsid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búsqueda de patentes o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uso de medios  informativos o bibliotecas sobre patentes</w:t>
            </w:r>
            <w:r w:rsidRPr="009F1794">
              <w:rPr>
                <w:rFonts w:ascii="Arial" w:hAnsi="Arial" w:cs="Arial"/>
                <w:sz w:val="20"/>
                <w:szCs w:val="20"/>
              </w:rPr>
              <w:t>, frente a la totalidad de empresas.</w:t>
            </w:r>
          </w:p>
        </w:tc>
      </w:tr>
      <w:tr w:rsidR="00D21FB1" w:rsidRPr="009B59A7" w:rsidTr="008240BE">
        <w:trPr>
          <w:trHeight w:val="9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F1794" w:rsidRDefault="00C52B7E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</w:t>
            </w:r>
            <w:r w:rsidR="00B75DC2"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 (ACTI)</w:t>
            </w:r>
            <w:r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70876"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periodo </w:t>
            </w:r>
            <w:r w:rsidR="00BF3192" w:rsidRPr="009F1794">
              <w:rPr>
                <w:rFonts w:ascii="Arial" w:eastAsia="Times New Roman" w:hAnsi="Arial" w:cs="Arial"/>
                <w:sz w:val="20"/>
                <w:szCs w:val="20"/>
              </w:rPr>
              <w:t>2012 – 2014</w:t>
            </w:r>
            <w:r w:rsidR="00984568" w:rsidRPr="009F1794"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D21FB1" w:rsidRPr="009B59A7" w:rsidTr="00CD434F">
        <w:trPr>
          <w:trHeight w:val="721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001E36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B75DC2" w:rsidRPr="009F1794" w:rsidRDefault="00984568" w:rsidP="009F179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>Bienal</w:t>
            </w:r>
            <w:r w:rsidR="00FC51DF"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 y se levanta información de tres años.</w:t>
            </w:r>
          </w:p>
        </w:tc>
      </w:tr>
      <w:tr w:rsidR="00D21FB1" w:rsidRPr="009B59A7" w:rsidTr="008240BE">
        <w:trPr>
          <w:trHeight w:val="510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F1794" w:rsidRDefault="00B75DC2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>2009 - 201</w:t>
            </w:r>
            <w:r w:rsidR="00C70876" w:rsidRPr="009F1794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CA3260" w:rsidRPr="009F179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9B59A7" w:rsidTr="00CD434F">
        <w:trPr>
          <w:trHeight w:val="713"/>
          <w:tblCellSpacing w:w="20" w:type="dxa"/>
        </w:trPr>
        <w:tc>
          <w:tcPr>
            <w:tcW w:w="1224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194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F1794" w:rsidRDefault="00D21FB1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21FB1" w:rsidRPr="009B59A7" w:rsidTr="00CD434F">
        <w:trPr>
          <w:trHeight w:val="624"/>
          <w:tblCellSpacing w:w="20" w:type="dxa"/>
        </w:trPr>
        <w:tc>
          <w:tcPr>
            <w:tcW w:w="1224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B75DC2" w:rsidRPr="009F1794" w:rsidRDefault="00445D57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Tamaño de empresa</w:t>
            </w:r>
          </w:p>
        </w:tc>
      </w:tr>
      <w:tr w:rsidR="00D21FB1" w:rsidRPr="009B59A7" w:rsidTr="00CD434F">
        <w:trPr>
          <w:trHeight w:val="634"/>
          <w:tblCellSpacing w:w="20" w:type="dxa"/>
        </w:trPr>
        <w:tc>
          <w:tcPr>
            <w:tcW w:w="1224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9F1794" w:rsidRDefault="00D21FB1" w:rsidP="009F17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F1794" w:rsidRDefault="00D21FB1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sz w:val="20"/>
                <w:szCs w:val="20"/>
              </w:rPr>
              <w:t xml:space="preserve">CIIU </w:t>
            </w:r>
            <w:r w:rsidR="00EA1649" w:rsidRPr="009F1794">
              <w:rPr>
                <w:rFonts w:ascii="Arial" w:eastAsia="Times New Roman" w:hAnsi="Arial" w:cs="Arial"/>
                <w:sz w:val="20"/>
                <w:szCs w:val="20"/>
              </w:rPr>
              <w:t>rev. 4</w:t>
            </w:r>
          </w:p>
        </w:tc>
      </w:tr>
      <w:tr w:rsidR="00D21FB1" w:rsidRPr="009B59A7" w:rsidTr="008240BE">
        <w:trPr>
          <w:trHeight w:val="6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F1794" w:rsidRDefault="00D21FB1" w:rsidP="009F179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D21FB1" w:rsidRPr="009B59A7" w:rsidTr="008240BE">
        <w:trPr>
          <w:trHeight w:val="845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="00001E36" w:rsidRPr="009F1794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001E36" w:rsidRPr="009F17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636A16" w:rsidRPr="009F1794" w:rsidRDefault="00383249" w:rsidP="009F179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D21FB1" w:rsidRPr="009B59A7" w:rsidTr="00CD434F">
        <w:trPr>
          <w:trHeight w:val="1886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C346F6" w:rsidRPr="009F1794" w:rsidRDefault="00C346F6" w:rsidP="009F1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794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D21FB1" w:rsidRPr="009F1794" w:rsidRDefault="00C346F6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D21FB1" w:rsidRPr="009B59A7" w:rsidTr="008240BE">
        <w:trPr>
          <w:trHeight w:val="589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F1794" w:rsidRDefault="00B44DB9" w:rsidP="009F179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11/03/2016</w:t>
            </w:r>
          </w:p>
        </w:tc>
      </w:tr>
      <w:tr w:rsidR="00D21FB1" w:rsidRPr="009B59A7" w:rsidTr="008240BE">
        <w:trPr>
          <w:trHeight w:val="53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9F1794" w:rsidRDefault="001C16BB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LA ÚLTIMA ACTUALIZACIÓ</w:t>
            </w:r>
            <w:r w:rsidR="00D21FB1"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DE LA FICHA</w:t>
            </w:r>
            <w:r w:rsidR="00001E36"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9F1794" w:rsidRDefault="00B44DB9" w:rsidP="009F179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_________</w:t>
            </w:r>
          </w:p>
        </w:tc>
      </w:tr>
      <w:tr w:rsidR="00D21FB1" w:rsidRPr="009B59A7" w:rsidTr="008240BE">
        <w:trPr>
          <w:trHeight w:val="617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F1794" w:rsidRDefault="00001E36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885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21FB1" w:rsidRPr="009F1794" w:rsidRDefault="00636A16" w:rsidP="009F179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8240BE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nnovación</w:t>
            </w:r>
          </w:p>
        </w:tc>
        <w:tc>
          <w:tcPr>
            <w:tcW w:w="582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21FB1" w:rsidRPr="009F1794" w:rsidRDefault="00636A16" w:rsidP="009F179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D21FB1" w:rsidRPr="009B59A7" w:rsidTr="00CD434F">
        <w:trPr>
          <w:trHeight w:val="80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9F1794" w:rsidRDefault="00D21FB1" w:rsidP="009F179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9F1794" w:rsidRDefault="00D21FB1" w:rsidP="009F179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1C16BB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nstituto Nacional de Estadística y Censos </w:t>
            </w:r>
            <w:r w:rsidR="00476E5D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="001C16BB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INEC</w:t>
            </w:r>
            <w:r w:rsidR="00476E5D" w:rsidRPr="009F17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B416C" w:rsidRDefault="00EB416C" w:rsidP="00475CD6"/>
    <w:sectPr w:rsidR="00EB416C" w:rsidSect="008240BE">
      <w:headerReference w:type="default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78" w:rsidRDefault="005B1C78" w:rsidP="00D21FB1">
      <w:pPr>
        <w:spacing w:after="0" w:line="240" w:lineRule="auto"/>
      </w:pPr>
      <w:r>
        <w:separator/>
      </w:r>
    </w:p>
  </w:endnote>
  <w:endnote w:type="continuationSeparator" w:id="0">
    <w:p w:rsidR="005B1C78" w:rsidRDefault="005B1C78" w:rsidP="00D2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184659"/>
      <w:docPartObj>
        <w:docPartGallery w:val="Page Numbers (Bottom of Page)"/>
        <w:docPartUnique/>
      </w:docPartObj>
    </w:sdtPr>
    <w:sdtEndPr/>
    <w:sdtContent>
      <w:p w:rsidR="008C789D" w:rsidRDefault="008C78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249" w:rsidRPr="00383249">
          <w:rPr>
            <w:noProof/>
            <w:lang w:val="es-ES"/>
          </w:rPr>
          <w:t>1</w:t>
        </w:r>
        <w:r>
          <w:fldChar w:fldCharType="end"/>
        </w:r>
      </w:p>
    </w:sdtContent>
  </w:sdt>
  <w:p w:rsidR="008C789D" w:rsidRDefault="008C78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78" w:rsidRDefault="005B1C78" w:rsidP="00D21FB1">
      <w:pPr>
        <w:spacing w:after="0" w:line="240" w:lineRule="auto"/>
      </w:pPr>
      <w:r>
        <w:separator/>
      </w:r>
    </w:p>
  </w:footnote>
  <w:footnote w:type="continuationSeparator" w:id="0">
    <w:p w:rsidR="005B1C78" w:rsidRDefault="005B1C78" w:rsidP="00D2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9D" w:rsidRDefault="009A643D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7A33"/>
    <w:multiLevelType w:val="hybridMultilevel"/>
    <w:tmpl w:val="98045E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F2ED2"/>
    <w:multiLevelType w:val="hybridMultilevel"/>
    <w:tmpl w:val="C7160B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4532"/>
    <w:multiLevelType w:val="hybridMultilevel"/>
    <w:tmpl w:val="988253A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0EE6FD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64BD2"/>
    <w:multiLevelType w:val="hybridMultilevel"/>
    <w:tmpl w:val="ED267B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D3D66"/>
    <w:multiLevelType w:val="hybridMultilevel"/>
    <w:tmpl w:val="67BE5178"/>
    <w:lvl w:ilvl="0" w:tplc="2B608466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B1"/>
    <w:rsid w:val="00001E36"/>
    <w:rsid w:val="00016D9B"/>
    <w:rsid w:val="0005674E"/>
    <w:rsid w:val="00084606"/>
    <w:rsid w:val="00093589"/>
    <w:rsid w:val="00093B5E"/>
    <w:rsid w:val="0009771D"/>
    <w:rsid w:val="000D3918"/>
    <w:rsid w:val="000D54D5"/>
    <w:rsid w:val="000E0F1A"/>
    <w:rsid w:val="000E491B"/>
    <w:rsid w:val="000E62FE"/>
    <w:rsid w:val="00100213"/>
    <w:rsid w:val="00101594"/>
    <w:rsid w:val="00124E75"/>
    <w:rsid w:val="001265EA"/>
    <w:rsid w:val="0014794A"/>
    <w:rsid w:val="00150C68"/>
    <w:rsid w:val="001679E9"/>
    <w:rsid w:val="001B6364"/>
    <w:rsid w:val="001C16BB"/>
    <w:rsid w:val="001E7E24"/>
    <w:rsid w:val="001F4EDF"/>
    <w:rsid w:val="001F51DD"/>
    <w:rsid w:val="00202F63"/>
    <w:rsid w:val="00261C47"/>
    <w:rsid w:val="00274095"/>
    <w:rsid w:val="00283CC4"/>
    <w:rsid w:val="002A0B0C"/>
    <w:rsid w:val="002B5DD1"/>
    <w:rsid w:val="002C3DC7"/>
    <w:rsid w:val="002C62CD"/>
    <w:rsid w:val="0031384F"/>
    <w:rsid w:val="00317C2B"/>
    <w:rsid w:val="003365F4"/>
    <w:rsid w:val="00346BC0"/>
    <w:rsid w:val="00352531"/>
    <w:rsid w:val="00370DBD"/>
    <w:rsid w:val="0038241D"/>
    <w:rsid w:val="00383249"/>
    <w:rsid w:val="003838D1"/>
    <w:rsid w:val="00383A61"/>
    <w:rsid w:val="003B04CA"/>
    <w:rsid w:val="003F70B4"/>
    <w:rsid w:val="00404A8D"/>
    <w:rsid w:val="0042146C"/>
    <w:rsid w:val="00445D57"/>
    <w:rsid w:val="00475CD6"/>
    <w:rsid w:val="00476E5D"/>
    <w:rsid w:val="00483712"/>
    <w:rsid w:val="00491686"/>
    <w:rsid w:val="004C339E"/>
    <w:rsid w:val="004D370F"/>
    <w:rsid w:val="004E65D1"/>
    <w:rsid w:val="004E77F2"/>
    <w:rsid w:val="00515DB9"/>
    <w:rsid w:val="00516363"/>
    <w:rsid w:val="005212EB"/>
    <w:rsid w:val="00521F88"/>
    <w:rsid w:val="00545CC4"/>
    <w:rsid w:val="0055402C"/>
    <w:rsid w:val="005622F5"/>
    <w:rsid w:val="00566D0D"/>
    <w:rsid w:val="005817BE"/>
    <w:rsid w:val="00583B86"/>
    <w:rsid w:val="005925A4"/>
    <w:rsid w:val="005B1C78"/>
    <w:rsid w:val="005D2EB5"/>
    <w:rsid w:val="005D7ABC"/>
    <w:rsid w:val="005E7544"/>
    <w:rsid w:val="00610F5A"/>
    <w:rsid w:val="00636A16"/>
    <w:rsid w:val="00643D5D"/>
    <w:rsid w:val="0068309C"/>
    <w:rsid w:val="0068326A"/>
    <w:rsid w:val="0068758F"/>
    <w:rsid w:val="006B4E7F"/>
    <w:rsid w:val="006C3998"/>
    <w:rsid w:val="00703BEC"/>
    <w:rsid w:val="007328AC"/>
    <w:rsid w:val="0076517B"/>
    <w:rsid w:val="007A2D62"/>
    <w:rsid w:val="007A2E66"/>
    <w:rsid w:val="007B425D"/>
    <w:rsid w:val="007C028C"/>
    <w:rsid w:val="007C07D1"/>
    <w:rsid w:val="007F7E83"/>
    <w:rsid w:val="00810BAB"/>
    <w:rsid w:val="008240BE"/>
    <w:rsid w:val="00824299"/>
    <w:rsid w:val="00831C10"/>
    <w:rsid w:val="00837C37"/>
    <w:rsid w:val="008732ED"/>
    <w:rsid w:val="008733FB"/>
    <w:rsid w:val="00881E01"/>
    <w:rsid w:val="008A5F80"/>
    <w:rsid w:val="008C789D"/>
    <w:rsid w:val="008D55A6"/>
    <w:rsid w:val="00912B15"/>
    <w:rsid w:val="00927F5B"/>
    <w:rsid w:val="00946218"/>
    <w:rsid w:val="009621B0"/>
    <w:rsid w:val="00984568"/>
    <w:rsid w:val="00997295"/>
    <w:rsid w:val="009A07FA"/>
    <w:rsid w:val="009A643D"/>
    <w:rsid w:val="009B00C0"/>
    <w:rsid w:val="009D7122"/>
    <w:rsid w:val="009F15AC"/>
    <w:rsid w:val="009F1794"/>
    <w:rsid w:val="009F2367"/>
    <w:rsid w:val="00A00CF1"/>
    <w:rsid w:val="00A249E9"/>
    <w:rsid w:val="00A300AE"/>
    <w:rsid w:val="00A42A4C"/>
    <w:rsid w:val="00A51BBF"/>
    <w:rsid w:val="00A55DA1"/>
    <w:rsid w:val="00A67F0D"/>
    <w:rsid w:val="00A71374"/>
    <w:rsid w:val="00AA3D10"/>
    <w:rsid w:val="00AD421E"/>
    <w:rsid w:val="00AD5588"/>
    <w:rsid w:val="00AD5B62"/>
    <w:rsid w:val="00AD67FD"/>
    <w:rsid w:val="00AE00B5"/>
    <w:rsid w:val="00B118F4"/>
    <w:rsid w:val="00B16129"/>
    <w:rsid w:val="00B373DD"/>
    <w:rsid w:val="00B44B50"/>
    <w:rsid w:val="00B44DB9"/>
    <w:rsid w:val="00B47003"/>
    <w:rsid w:val="00B72977"/>
    <w:rsid w:val="00B75DC2"/>
    <w:rsid w:val="00B76B03"/>
    <w:rsid w:val="00B918E0"/>
    <w:rsid w:val="00BA10F9"/>
    <w:rsid w:val="00BB1036"/>
    <w:rsid w:val="00BC41E9"/>
    <w:rsid w:val="00BD0E69"/>
    <w:rsid w:val="00BF3192"/>
    <w:rsid w:val="00C167E3"/>
    <w:rsid w:val="00C31877"/>
    <w:rsid w:val="00C3351B"/>
    <w:rsid w:val="00C346F6"/>
    <w:rsid w:val="00C51436"/>
    <w:rsid w:val="00C52B7E"/>
    <w:rsid w:val="00C61A70"/>
    <w:rsid w:val="00C70876"/>
    <w:rsid w:val="00C7557B"/>
    <w:rsid w:val="00CA3092"/>
    <w:rsid w:val="00CA3260"/>
    <w:rsid w:val="00CA3FDA"/>
    <w:rsid w:val="00CD434F"/>
    <w:rsid w:val="00CE04DF"/>
    <w:rsid w:val="00D21FB1"/>
    <w:rsid w:val="00DA6CF4"/>
    <w:rsid w:val="00DB4507"/>
    <w:rsid w:val="00DE1E3F"/>
    <w:rsid w:val="00DE7E53"/>
    <w:rsid w:val="00DF4094"/>
    <w:rsid w:val="00E06D23"/>
    <w:rsid w:val="00E33AA9"/>
    <w:rsid w:val="00E640B1"/>
    <w:rsid w:val="00EA1649"/>
    <w:rsid w:val="00EA6DC8"/>
    <w:rsid w:val="00EB416C"/>
    <w:rsid w:val="00ED32AD"/>
    <w:rsid w:val="00ED771C"/>
    <w:rsid w:val="00EF607C"/>
    <w:rsid w:val="00EF756D"/>
    <w:rsid w:val="00F168F4"/>
    <w:rsid w:val="00F232D7"/>
    <w:rsid w:val="00F32235"/>
    <w:rsid w:val="00F43CB2"/>
    <w:rsid w:val="00F77668"/>
    <w:rsid w:val="00F83EE2"/>
    <w:rsid w:val="00FA63B6"/>
    <w:rsid w:val="00FC22F7"/>
    <w:rsid w:val="00FC51DF"/>
    <w:rsid w:val="00FD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2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paragraph" w:styleId="Sinespaciado">
    <w:name w:val="No Spacing"/>
    <w:uiPriority w:val="1"/>
    <w:qFormat/>
    <w:rsid w:val="007B425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2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631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18</cp:revision>
  <dcterms:created xsi:type="dcterms:W3CDTF">2016-03-14T15:34:00Z</dcterms:created>
  <dcterms:modified xsi:type="dcterms:W3CDTF">2016-10-14T20:50:00Z</dcterms:modified>
</cp:coreProperties>
</file>