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7740C6">
        <w:trPr>
          <w:trHeight w:val="769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7740C6" w:rsidRDefault="00B70F5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7740C6" w:rsidRDefault="00B75A78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>E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mpresas con activ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 xml:space="preserve">idades de innovación en curso 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o abandonadas durante el periodo de 2012 a 2014.</w:t>
            </w:r>
          </w:p>
        </w:tc>
      </w:tr>
      <w:tr w:rsidR="00423C0E" w:rsidRPr="008C4A5A" w:rsidTr="007740C6">
        <w:trPr>
          <w:trHeight w:val="1063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7740C6" w:rsidRDefault="00B75A78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empresas que presentaron acti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 xml:space="preserve">vidades de innovación en curso 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o abandonadas</w:t>
            </w:r>
            <w:r w:rsidRPr="007740C6">
              <w:rPr>
                <w:rFonts w:ascii="Arial" w:hAnsi="Arial" w:cs="Arial"/>
                <w:sz w:val="20"/>
                <w:szCs w:val="20"/>
              </w:rPr>
              <w:t xml:space="preserve"> respecto del total de empresas investigadas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7740C6" w:rsidRDefault="0043415D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6CFB" w:rsidRPr="007740C6" w:rsidRDefault="004B00E9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inn_c_o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i=1,…,2</m:t>
                </m:r>
              </m:oMath>
            </m:oMathPara>
          </w:p>
          <w:p w:rsidR="00DE6CFB" w:rsidRPr="007740C6" w:rsidRDefault="00DE6CFB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6CFB" w:rsidRPr="007740C6" w:rsidRDefault="00DE6CFB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302744" w:rsidRPr="007740C6" w:rsidRDefault="00302744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6CFB" w:rsidRPr="007740C6" w:rsidRDefault="00DE6CFB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7740C6">
              <w:rPr>
                <w:rFonts w:ascii="Arial" w:hAnsi="Arial" w:cs="Arial"/>
                <w:sz w:val="20"/>
                <w:szCs w:val="20"/>
              </w:rPr>
              <w:t xml:space="preserve"> en curso</w:t>
            </w:r>
          </w:p>
          <w:p w:rsidR="00DE6CFB" w:rsidRPr="007740C6" w:rsidRDefault="00DE6CFB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7740C6">
              <w:rPr>
                <w:rFonts w:ascii="Arial" w:hAnsi="Arial" w:cs="Arial"/>
                <w:sz w:val="20"/>
                <w:szCs w:val="20"/>
              </w:rPr>
              <w:t xml:space="preserve"> abandonadas</w:t>
            </w:r>
          </w:p>
          <w:p w:rsidR="00DE6CFB" w:rsidRPr="007740C6" w:rsidRDefault="00DE6CFB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E6CFB" w:rsidRPr="007740C6" w:rsidRDefault="004B00E9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inn_c_o</m:t>
                  </m:r>
                </m:sub>
              </m:sSub>
            </m:oMath>
            <w:r w:rsidR="007740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>= Porcentaje de empresas con actividades de innovación</w:t>
            </w:r>
            <w:r w:rsidR="00B75A78" w:rsidRPr="007740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 xml:space="preserve">en curso </w:t>
            </w:r>
            <w:r w:rsidR="00B75A78" w:rsidRPr="007740C6">
              <w:rPr>
                <w:rFonts w:ascii="Arial" w:hAnsi="Arial" w:cs="Arial"/>
                <w:sz w:val="20"/>
                <w:szCs w:val="20"/>
              </w:rPr>
              <w:t>o abandonadas</w:t>
            </w:r>
          </w:p>
          <w:p w:rsidR="00B75A78" w:rsidRPr="007740C6" w:rsidRDefault="00B75A78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E6CFB" w:rsidRPr="007740C6" w:rsidRDefault="004B00E9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DE6CFB" w:rsidRPr="007740C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740C6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DE6CFB" w:rsidRPr="007740C6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B75A78" w:rsidRPr="007740C6">
              <w:rPr>
                <w:rFonts w:ascii="Arial" w:hAnsi="Arial" w:cs="Arial"/>
                <w:sz w:val="20"/>
                <w:szCs w:val="20"/>
              </w:rPr>
              <w:t>Empresas con actividades de innovación (i) en el periodo de referencia</w:t>
            </w:r>
          </w:p>
          <w:p w:rsidR="00B75A78" w:rsidRPr="007740C6" w:rsidRDefault="00B75A78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02744" w:rsidRPr="007740C6" w:rsidRDefault="00DE6CFB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</m:t>
              </m:r>
            </m:oMath>
            <w:r w:rsidRPr="007740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40C6">
              <w:rPr>
                <w:rFonts w:ascii="Arial" w:hAnsi="Arial" w:cs="Arial"/>
                <w:sz w:val="20"/>
                <w:szCs w:val="20"/>
              </w:rPr>
              <w:t xml:space="preserve">         = </w:t>
            </w:r>
            <w:r w:rsidRPr="007740C6">
              <w:rPr>
                <w:rFonts w:ascii="Arial" w:hAnsi="Arial" w:cs="Arial"/>
                <w:sz w:val="20"/>
                <w:szCs w:val="20"/>
              </w:rPr>
              <w:t>Total de empresas</w:t>
            </w:r>
            <w:r w:rsidR="00B75A78" w:rsidRPr="007740C6">
              <w:rPr>
                <w:rFonts w:ascii="Arial" w:hAnsi="Arial" w:cs="Arial"/>
                <w:sz w:val="20"/>
                <w:szCs w:val="20"/>
              </w:rPr>
              <w:t xml:space="preserve"> investigadas</w:t>
            </w:r>
          </w:p>
          <w:p w:rsidR="00302744" w:rsidRPr="007740C6" w:rsidRDefault="00302744" w:rsidP="007740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7740C6" w:rsidRDefault="005E31B4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DE6CFB" w:rsidRPr="007740C6" w:rsidRDefault="00DE6CFB" w:rsidP="007740C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Durante un período dado de tiempo, las actividades de innovación de una empresa pueden ser de tres clases:</w:t>
            </w:r>
          </w:p>
          <w:p w:rsidR="00302744" w:rsidRPr="007740C6" w:rsidRDefault="00302744" w:rsidP="007740C6">
            <w:pPr>
              <w:pStyle w:val="Prrafodelista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6CFB" w:rsidRDefault="00DE6CFB" w:rsidP="007740C6">
            <w:pPr>
              <w:pStyle w:val="Prrafodelista"/>
              <w:numPr>
                <w:ilvl w:val="0"/>
                <w:numId w:val="11"/>
              </w:numPr>
              <w:ind w:left="1134" w:hanging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Exitosas que resultan de la introducción de una nueva innovación (aunque no necesariamente tiene que haber sido comercialmente un éxito).</w:t>
            </w:r>
          </w:p>
          <w:p w:rsidR="007740C6" w:rsidRPr="007740C6" w:rsidRDefault="007740C6" w:rsidP="007740C6">
            <w:pPr>
              <w:pStyle w:val="Prrafodelista"/>
              <w:ind w:left="1134" w:hanging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75A78" w:rsidRDefault="00DE6CFB" w:rsidP="007740C6">
            <w:pPr>
              <w:pStyle w:val="Prrafodelista"/>
              <w:numPr>
                <w:ilvl w:val="0"/>
                <w:numId w:val="11"/>
              </w:numPr>
              <w:ind w:left="1134" w:hanging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En curso, aquellas en las que todavía no se ha culminado su introducción.</w:t>
            </w:r>
          </w:p>
          <w:p w:rsidR="007740C6" w:rsidRPr="007740C6" w:rsidRDefault="007740C6" w:rsidP="007740C6">
            <w:pPr>
              <w:pStyle w:val="Prrafodelista"/>
              <w:ind w:left="1134" w:hanging="42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B0B89" w:rsidRPr="007740C6" w:rsidRDefault="00DE6CFB" w:rsidP="007740C6">
            <w:pPr>
              <w:pStyle w:val="Prrafodelista"/>
              <w:numPr>
                <w:ilvl w:val="0"/>
                <w:numId w:val="11"/>
              </w:numPr>
              <w:ind w:left="1134" w:hanging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Abandonadas, aquellas que ha sido canceladas antes de su introducción.</w:t>
            </w:r>
          </w:p>
          <w:p w:rsidR="00302744" w:rsidRPr="007740C6" w:rsidRDefault="00302744" w:rsidP="007740C6">
            <w:pPr>
              <w:pStyle w:val="Prrafodelista"/>
              <w:spacing w:after="0"/>
              <w:ind w:left="141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0B555C" w:rsidRPr="00F65E52" w:rsidTr="007740C6">
        <w:trPr>
          <w:trHeight w:val="1020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7740C6" w:rsidRDefault="00DE6CFB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número de </w:t>
            </w:r>
            <w:r w:rsidR="00B75A78" w:rsidRPr="007740C6">
              <w:rPr>
                <w:rFonts w:ascii="Arial" w:hAnsi="Arial" w:cs="Arial"/>
                <w:sz w:val="20"/>
                <w:szCs w:val="20"/>
              </w:rPr>
              <w:t xml:space="preserve">empresas con actividades de innovación en curso para el </w:t>
            </w:r>
            <w:r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total de empresas</w:t>
            </w:r>
            <w:r w:rsidR="00B75A78"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investigadas</w:t>
            </w:r>
            <w:r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>; la misma metodología de cálculo se aplica para las empresas con actividades de innovación abandonadas</w:t>
            </w:r>
            <w:r w:rsidR="00302744"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  <w:r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7740C6">
        <w:trPr>
          <w:trHeight w:val="560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7740C6">
        <w:trPr>
          <w:trHeight w:val="68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7740C6">
        <w:trPr>
          <w:trHeight w:val="127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1557A4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  <w:lang w:val="es-EC"/>
              </w:rPr>
              <w:t>Un alto porcentaje</w:t>
            </w:r>
            <w:r w:rsidRPr="007740C6">
              <w:rPr>
                <w:rFonts w:ascii="Arial" w:hAnsi="Arial" w:cs="Arial"/>
                <w:sz w:val="20"/>
                <w:szCs w:val="20"/>
              </w:rPr>
              <w:t xml:space="preserve"> indica al tipo de actividades</w:t>
            </w:r>
            <w:r w:rsidR="00E5480E" w:rsidRPr="007740C6">
              <w:rPr>
                <w:rFonts w:ascii="Arial" w:hAnsi="Arial" w:cs="Arial"/>
                <w:sz w:val="20"/>
                <w:szCs w:val="20"/>
              </w:rPr>
              <w:t xml:space="preserve"> de innovación 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>en curso o abandonada</w:t>
            </w:r>
            <w:r w:rsidR="00E5480E" w:rsidRPr="007740C6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Pr="007740C6">
              <w:rPr>
                <w:rFonts w:ascii="Arial" w:hAnsi="Arial" w:cs="Arial"/>
                <w:sz w:val="20"/>
                <w:szCs w:val="20"/>
              </w:rPr>
              <w:t xml:space="preserve"> predom</w:t>
            </w:r>
            <w:r w:rsidR="00302744" w:rsidRPr="007740C6">
              <w:rPr>
                <w:rFonts w:ascii="Arial" w:hAnsi="Arial" w:cs="Arial"/>
                <w:sz w:val="20"/>
                <w:szCs w:val="20"/>
              </w:rPr>
              <w:t>ina sobre el total de empresas investigadas</w:t>
            </w:r>
            <w:r w:rsidRPr="007740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7740C6">
        <w:trPr>
          <w:trHeight w:val="92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7740C6">
        <w:trPr>
          <w:trHeight w:val="58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7740C6">
        <w:trPr>
          <w:trHeight w:val="49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D0075F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7740C6">
        <w:trPr>
          <w:trHeight w:val="499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D0075F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7740C6">
        <w:trPr>
          <w:trHeight w:val="507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7740C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7740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726932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740C6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7740C6">
        <w:trPr>
          <w:trHeight w:val="61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A2AD6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10/</w:t>
            </w:r>
            <w:r w:rsidR="00423C0E" w:rsidRPr="007740C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09/2013</w:t>
            </w:r>
          </w:p>
        </w:tc>
      </w:tr>
      <w:tr w:rsidR="00423C0E" w:rsidRPr="00F65E52" w:rsidTr="007740C6">
        <w:trPr>
          <w:trHeight w:val="6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740C6" w:rsidRDefault="00423C0E" w:rsidP="007740C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740C6" w:rsidRDefault="00423C0E" w:rsidP="007740C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740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  <w:r w:rsidR="00E5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E9" w:rsidRDefault="004B00E9" w:rsidP="003D2923">
      <w:r>
        <w:separator/>
      </w:r>
    </w:p>
  </w:endnote>
  <w:endnote w:type="continuationSeparator" w:id="0">
    <w:p w:rsidR="004B00E9" w:rsidRDefault="004B00E9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932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E9" w:rsidRDefault="004B00E9" w:rsidP="003D2923">
      <w:r>
        <w:separator/>
      </w:r>
    </w:p>
  </w:footnote>
  <w:footnote w:type="continuationSeparator" w:id="0">
    <w:p w:rsidR="004B00E9" w:rsidRDefault="004B00E9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3E5628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3D35"/>
    <w:multiLevelType w:val="hybridMultilevel"/>
    <w:tmpl w:val="B72EE8E2"/>
    <w:lvl w:ilvl="0" w:tplc="300A0003">
      <w:start w:val="1"/>
      <w:numFmt w:val="bullet"/>
      <w:lvlText w:val="o"/>
      <w:lvlJc w:val="left"/>
      <w:pPr>
        <w:ind w:left="-103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-31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0F446E"/>
    <w:rsid w:val="0010577B"/>
    <w:rsid w:val="0013200A"/>
    <w:rsid w:val="00134F01"/>
    <w:rsid w:val="001557A4"/>
    <w:rsid w:val="001572E0"/>
    <w:rsid w:val="00171918"/>
    <w:rsid w:val="001B1D2D"/>
    <w:rsid w:val="001B46FA"/>
    <w:rsid w:val="001C2B25"/>
    <w:rsid w:val="001D1655"/>
    <w:rsid w:val="001E3172"/>
    <w:rsid w:val="0020406A"/>
    <w:rsid w:val="0022084C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02744"/>
    <w:rsid w:val="003405A6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E5628"/>
    <w:rsid w:val="003F705B"/>
    <w:rsid w:val="003F7927"/>
    <w:rsid w:val="00423C0E"/>
    <w:rsid w:val="0043415D"/>
    <w:rsid w:val="004A2AD6"/>
    <w:rsid w:val="004B00E9"/>
    <w:rsid w:val="004B27D3"/>
    <w:rsid w:val="004D1A73"/>
    <w:rsid w:val="004D1B1C"/>
    <w:rsid w:val="004D1EAF"/>
    <w:rsid w:val="004D359D"/>
    <w:rsid w:val="004E4C32"/>
    <w:rsid w:val="00552D5A"/>
    <w:rsid w:val="00555BC7"/>
    <w:rsid w:val="0056316A"/>
    <w:rsid w:val="00567F4D"/>
    <w:rsid w:val="005B504F"/>
    <w:rsid w:val="005D0876"/>
    <w:rsid w:val="005E31B4"/>
    <w:rsid w:val="00620DE5"/>
    <w:rsid w:val="006469B6"/>
    <w:rsid w:val="006843AA"/>
    <w:rsid w:val="006A4801"/>
    <w:rsid w:val="006A56EE"/>
    <w:rsid w:val="006A6D75"/>
    <w:rsid w:val="006A79F7"/>
    <w:rsid w:val="006B1BB7"/>
    <w:rsid w:val="006C7564"/>
    <w:rsid w:val="006E26AE"/>
    <w:rsid w:val="006F2387"/>
    <w:rsid w:val="0070649B"/>
    <w:rsid w:val="00716A0F"/>
    <w:rsid w:val="00726932"/>
    <w:rsid w:val="0074263E"/>
    <w:rsid w:val="0076293D"/>
    <w:rsid w:val="00764125"/>
    <w:rsid w:val="007740C6"/>
    <w:rsid w:val="00777617"/>
    <w:rsid w:val="007B5926"/>
    <w:rsid w:val="007B73F1"/>
    <w:rsid w:val="007C2D64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776B6"/>
    <w:rsid w:val="00985BA6"/>
    <w:rsid w:val="00995106"/>
    <w:rsid w:val="009B6642"/>
    <w:rsid w:val="009C3BE8"/>
    <w:rsid w:val="009C48CB"/>
    <w:rsid w:val="009C7999"/>
    <w:rsid w:val="00A11E0C"/>
    <w:rsid w:val="00A416E3"/>
    <w:rsid w:val="00A457F8"/>
    <w:rsid w:val="00A711E7"/>
    <w:rsid w:val="00A91812"/>
    <w:rsid w:val="00A94EBE"/>
    <w:rsid w:val="00AA0A52"/>
    <w:rsid w:val="00AC0948"/>
    <w:rsid w:val="00AE5266"/>
    <w:rsid w:val="00AF36D9"/>
    <w:rsid w:val="00AF484C"/>
    <w:rsid w:val="00AF6888"/>
    <w:rsid w:val="00B13AB8"/>
    <w:rsid w:val="00B17B76"/>
    <w:rsid w:val="00B24BD5"/>
    <w:rsid w:val="00B40EC1"/>
    <w:rsid w:val="00B70F5E"/>
    <w:rsid w:val="00B75A78"/>
    <w:rsid w:val="00B92E98"/>
    <w:rsid w:val="00BD39B5"/>
    <w:rsid w:val="00BE2719"/>
    <w:rsid w:val="00BE2918"/>
    <w:rsid w:val="00C251F9"/>
    <w:rsid w:val="00C34D9D"/>
    <w:rsid w:val="00C36FE1"/>
    <w:rsid w:val="00C80ADD"/>
    <w:rsid w:val="00C92572"/>
    <w:rsid w:val="00CD6119"/>
    <w:rsid w:val="00CE0C06"/>
    <w:rsid w:val="00CE1CE9"/>
    <w:rsid w:val="00CF4DDB"/>
    <w:rsid w:val="00D0075F"/>
    <w:rsid w:val="00D16836"/>
    <w:rsid w:val="00D42C77"/>
    <w:rsid w:val="00D53F17"/>
    <w:rsid w:val="00D652A9"/>
    <w:rsid w:val="00D65581"/>
    <w:rsid w:val="00D76C9D"/>
    <w:rsid w:val="00D92A62"/>
    <w:rsid w:val="00D92A95"/>
    <w:rsid w:val="00DA02E2"/>
    <w:rsid w:val="00DD2585"/>
    <w:rsid w:val="00DD7E88"/>
    <w:rsid w:val="00DE3DE2"/>
    <w:rsid w:val="00DE6CFB"/>
    <w:rsid w:val="00E07A9A"/>
    <w:rsid w:val="00E5426F"/>
    <w:rsid w:val="00E5480E"/>
    <w:rsid w:val="00E54A19"/>
    <w:rsid w:val="00E61D3A"/>
    <w:rsid w:val="00E72F94"/>
    <w:rsid w:val="00E73E6E"/>
    <w:rsid w:val="00E74EB1"/>
    <w:rsid w:val="00E76205"/>
    <w:rsid w:val="00E776C1"/>
    <w:rsid w:val="00E84336"/>
    <w:rsid w:val="00EA2E83"/>
    <w:rsid w:val="00EC158F"/>
    <w:rsid w:val="00EC77EB"/>
    <w:rsid w:val="00EE4FE0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D559C-D158-4E98-AB1A-8D8F6DB4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16</cp:revision>
  <dcterms:created xsi:type="dcterms:W3CDTF">2016-03-12T15:51:00Z</dcterms:created>
  <dcterms:modified xsi:type="dcterms:W3CDTF">2016-10-14T20:40:00Z</dcterms:modified>
</cp:coreProperties>
</file>